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rPr>
          <w:b/>
          <w:bCs/>
          <w:color w:val="1A4F9C"/>
          <w:sz w:val="18"/>
          <w:szCs w:val="18"/>
        </w:rPr>
        <w:t xml:space="preserve">DUOC UC · ESCUELA DE INFORMÁTICA Y TELECOMUNICACIONES</w:t>
      </w:r>
    </w:p>
    <w:p>
      <w:pPr>
        <w:spacing w:after="700"/>
        <w:jc w:val="center"/>
      </w:pPr>
      <w:r>
        <w:rPr>
          <w:color w:val="5B6777"/>
          <w:sz w:val="20"/>
          <w:szCs w:val="20"/>
        </w:rPr>
        <w:t xml:space="preserve">ITY1102 · Arquitectura de Sistemas de Inteligencia Artificial</w:t>
      </w:r>
    </w:p>
    <w:p>
      <w:pPr>
        <w:jc w:val="center"/>
      </w:pPr>
      <w:r>
        <w:rPr>
          <w:b/>
          <w:bCs/>
          <w:color w:val="1F6FEB"/>
          <w:sz w:val="52"/>
          <w:szCs w:val="52"/>
        </w:rPr>
        <w:t xml:space="preserve">Documentación de arquitectura</w:t>
      </w:r>
    </w:p>
    <w:p>
      <w:pPr>
        <w:spacing w:after="400"/>
        <w:jc w:val="center"/>
      </w:pPr>
      <w:r>
        <w:rPr>
          <w:color w:val="5B6777"/>
          <w:sz w:val="22"/>
          <w:szCs w:val="22"/>
        </w:rPr>
        <w:t xml:space="preserve">arc42 · Evaluación Parcial 2 · primera versión corriendo en contenedores</w:t>
      </w:r>
    </w:p>
    <w:p>
      <w:pPr>
        <w:spacing w:after="500"/>
        <w:jc w:val="center"/>
      </w:pPr>
      <w:r>
        <w:rPr>
          <w:b/>
          <w:bCs/>
          <w:color w:val="333333"/>
          <w:sz w:val="40"/>
          <w:szCs w:val="40"/>
        </w:rPr>
        <w:t xml:space="preserve">Guardián Centinela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6912"/>
      </w:tblGrid>
      <w:tr>
        <w:trPr>
          <w:tblHeader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Caso asignado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 3 — Detección de fraude en pagos digitales · Kipu Pagos SpA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Equipo N°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001D · 2026-02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Cristian Calderón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Entrega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Evaluación Parcial 2 — domingo 18 de octubre de 2026, 23:59</w:t>
            </w:r>
          </w:p>
        </w:tc>
      </w:tr>
      <w:tr>
        <w:trPr>
          <w:cantSplit/>
        </w:trPr>
        <w:tc>
          <w:tcPr>
            <w:tcW w:type="dxa" w:w="299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69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 (EP1 1.0 corregida y extendida)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b/>
          <w:bCs/>
          <w:color w:val="1A4F9C"/>
          <w:sz w:val="20"/>
          <w:szCs w:val="20"/>
        </w:rPr>
        <w:t xml:space="preserve">Integrantes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2"/>
        <w:gridCol w:w="2686"/>
        <w:gridCol w:w="5038"/>
      </w:tblGrid>
      <w:tr>
        <w:trPr>
          <w:tblHeader/>
        </w:trPr>
        <w:tc>
          <w:tcPr>
            <w:tcW w:type="dxa" w:w="21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Nombre completo</w:t>
            </w:r>
          </w:p>
        </w:tc>
        <w:tc>
          <w:tcPr>
            <w:tcW w:type="dxa" w:w="26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Correo institucional</w:t>
            </w:r>
          </w:p>
        </w:tc>
        <w:tc>
          <w:tcPr>
            <w:tcW w:type="dxa" w:w="50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 qué se hizo cargo en EP2</w:t>
            </w:r>
          </w:p>
        </w:tc>
      </w:tr>
      <w:tr>
        <w:trPr>
          <w:cantSplit/>
        </w:trPr>
        <w:tc>
          <w:tcPr>
            <w:tcW w:type="dxa" w:w="21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Sergio Martínez</w:t>
            </w:r>
          </w:p>
        </w:tc>
        <w:tc>
          <w:tcPr>
            <w:tcW w:type="dxa" w:w="26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ser.martinezs@duocuc.cl</w:t>
            </w:r>
          </w:p>
        </w:tc>
        <w:tc>
          <w:tcPr>
            <w:tcW w:type="dxa" w:w="50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Tratamiento de datos (datos/preparar.py), front; capítulos 1, 2, 3 y 8.4</w:t>
            </w:r>
          </w:p>
        </w:tc>
      </w:tr>
      <w:tr>
        <w:trPr>
          <w:cantSplit/>
        </w:trPr>
        <w:tc>
          <w:tcPr>
            <w:tcW w:type="dxa" w:w="21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Roberto Castro</w:t>
            </w:r>
          </w:p>
        </w:tc>
        <w:tc>
          <w:tcPr>
            <w:tcW w:type="dxa" w:w="26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ro.castroc@duocuc.cl</w:t>
            </w:r>
          </w:p>
        </w:tc>
        <w:tc>
          <w:tcPr>
            <w:tcW w:type="dxa" w:w="50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Microservicio de dominio, gateway y compose.yaml; capítulos 4, 5, 6, 7.1 y 7.2</w:t>
            </w:r>
          </w:p>
        </w:tc>
      </w:tr>
      <w:tr>
        <w:trPr>
          <w:cantSplit/>
        </w:trPr>
        <w:tc>
          <w:tcPr>
            <w:tcW w:type="dxa" w:w="21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Oscar Larrieu</w:t>
            </w:r>
          </w:p>
        </w:tc>
        <w:tc>
          <w:tcPr>
            <w:tcW w:type="dxa" w:w="268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os.larrieu@duocuc.cl</w:t>
            </w:r>
          </w:p>
        </w:tc>
        <w:tc>
          <w:tcPr>
            <w:tcW w:type="dxa" w:w="50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Microservicio de IA, carga y pipeline CI; capítulos 7.3, 7.4, 8.1–8.3, 9 y 10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60"/>
      </w:pPr>
      <w:r>
        <w:rPr>
          <w:b/>
          <w:bCs/>
          <w:color w:val="1F6FEB"/>
          <w:sz w:val="32"/>
          <w:szCs w:val="32"/>
        </w:rPr>
        <w:t xml:space="preserve">Índice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Historial de versiones</w:t>
      </w:r>
      <w:r>
        <w:rPr>
          <w:sz w:val="19"/>
          <w:szCs w:val="19"/>
        </w:rPr>
        <w:t xml:space="preserve">	2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1. Introducción y objetivos</w:t>
      </w:r>
      <w:r>
        <w:rPr>
          <w:sz w:val="19"/>
          <w:szCs w:val="19"/>
        </w:rPr>
        <w:t xml:space="preserve">	3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2. Restricciones</w:t>
      </w:r>
      <w:r>
        <w:rPr>
          <w:sz w:val="19"/>
          <w:szCs w:val="19"/>
        </w:rPr>
        <w:t xml:space="preserve">	4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3. Alcance y contexto del sistema</w:t>
      </w:r>
      <w:r>
        <w:rPr>
          <w:sz w:val="19"/>
          <w:szCs w:val="19"/>
        </w:rPr>
        <w:t xml:space="preserve">	4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4. Estrategia de solución</w:t>
      </w:r>
      <w:r>
        <w:rPr>
          <w:sz w:val="19"/>
          <w:szCs w:val="19"/>
        </w:rPr>
        <w:t xml:space="preserve">	5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5. Vista de bloques de construcción</w:t>
      </w:r>
      <w:r>
        <w:rPr>
          <w:sz w:val="19"/>
          <w:szCs w:val="19"/>
        </w:rPr>
        <w:t xml:space="preserve">	6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5.2 Nivel 2 — contenedores</w:t>
      </w:r>
      <w:r>
        <w:rPr>
          <w:sz w:val="19"/>
          <w:szCs w:val="19"/>
        </w:rPr>
        <w:t xml:space="preserve">	6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5.3 Nivel 3 — componentes del microservicio de IA</w:t>
      </w:r>
      <w:r>
        <w:rPr>
          <w:sz w:val="19"/>
          <w:szCs w:val="19"/>
        </w:rPr>
        <w:t xml:space="preserve">	7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6. Vista de ejecución</w:t>
      </w:r>
      <w:r>
        <w:rPr>
          <w:sz w:val="19"/>
          <w:szCs w:val="19"/>
        </w:rPr>
        <w:t xml:space="preserve">	8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7. Vista de implementación</w:t>
      </w:r>
      <w:r>
        <w:rPr>
          <w:sz w:val="19"/>
          <w:szCs w:val="19"/>
        </w:rPr>
        <w:t xml:space="preserve">	9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7.1 Despliegue actual y objetivo</w:t>
      </w:r>
      <w:r>
        <w:rPr>
          <w:sz w:val="19"/>
          <w:szCs w:val="19"/>
        </w:rPr>
        <w:t xml:space="preserve">	9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7.2 Dimensionamiento de recursos</w:t>
      </w:r>
      <w:r>
        <w:rPr>
          <w:sz w:val="19"/>
          <w:szCs w:val="19"/>
        </w:rPr>
        <w:t xml:space="preserve">	10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7.3 Estimación de costos</w:t>
      </w:r>
      <w:r>
        <w:rPr>
          <w:sz w:val="19"/>
          <w:szCs w:val="19"/>
        </w:rPr>
        <w:t xml:space="preserve">	10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7.4 Pipeline y gitflow</w:t>
      </w:r>
      <w:r>
        <w:rPr>
          <w:sz w:val="19"/>
          <w:szCs w:val="19"/>
        </w:rPr>
        <w:t xml:space="preserve">	11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8. Conceptos transversales</w:t>
      </w:r>
      <w:r>
        <w:rPr>
          <w:sz w:val="19"/>
          <w:szCs w:val="19"/>
        </w:rPr>
        <w:t xml:space="preserve">	12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8.1 Observabilidad</w:t>
      </w:r>
      <w:r>
        <w:rPr>
          <w:sz w:val="19"/>
          <w:szCs w:val="19"/>
        </w:rPr>
        <w:t xml:space="preserve">	12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8.2 Confiabilidad y alta disponibilidad</w:t>
      </w:r>
      <w:r>
        <w:rPr>
          <w:sz w:val="19"/>
          <w:szCs w:val="19"/>
        </w:rPr>
        <w:t xml:space="preserve">	12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8.3 Seguridad y datos personales</w:t>
      </w:r>
      <w:r>
        <w:rPr>
          <w:sz w:val="19"/>
          <w:szCs w:val="19"/>
        </w:rPr>
        <w:t xml:space="preserve">	13</w:t>
      </w:r>
    </w:p>
    <w:p>
      <w:pPr>
        <w:tabs>
          <w:tab w:val="right" w:pos="9906" w:leader="dot"/>
        </w:tabs>
        <w:spacing w:after="50"/>
        <w:ind w:left="400"/>
      </w:pPr>
      <w:r>
        <w:rPr>
          <w:b w:val="false"/>
          <w:bCs w:val="false"/>
          <w:sz w:val="19"/>
          <w:szCs w:val="19"/>
        </w:rPr>
        <w:t xml:space="preserve">8.4 Datos: tratamiento, variables y modelo de datos</w:t>
      </w:r>
      <w:r>
        <w:rPr>
          <w:sz w:val="19"/>
          <w:szCs w:val="19"/>
        </w:rPr>
        <w:t xml:space="preserve">	13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9. Decisiones de arquitectura</w:t>
      </w:r>
      <w:r>
        <w:rPr>
          <w:sz w:val="19"/>
          <w:szCs w:val="19"/>
        </w:rPr>
        <w:t xml:space="preserve">	15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10. Requisitos de calidad</w:t>
      </w:r>
      <w:r>
        <w:rPr>
          <w:sz w:val="19"/>
          <w:szCs w:val="19"/>
        </w:rPr>
        <w:t xml:space="preserve">	16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Anexo A. Referencias</w:t>
      </w:r>
      <w:r>
        <w:rPr>
          <w:sz w:val="19"/>
          <w:szCs w:val="19"/>
        </w:rPr>
        <w:t xml:space="preserve">	17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Anexo B. Declaración de uso de IA generativa</w:t>
      </w:r>
      <w:r>
        <w:rPr>
          <w:sz w:val="19"/>
          <w:szCs w:val="19"/>
        </w:rPr>
        <w:t xml:space="preserve">	17</w:t>
      </w:r>
    </w:p>
    <w:p>
      <w:pPr>
        <w:tabs>
          <w:tab w:val="right" w:pos="9906" w:leader="dot"/>
        </w:tabs>
        <w:spacing w:after="50"/>
        <w:ind w:left="0"/>
      </w:pPr>
      <w:r>
        <w:rPr>
          <w:b/>
          <w:bCs/>
          <w:sz w:val="19"/>
          <w:szCs w:val="19"/>
        </w:rPr>
        <w:t xml:space="preserve">Anexo C. Repositorios y sistema</w:t>
      </w:r>
      <w:r>
        <w:rPr>
          <w:sz w:val="19"/>
          <w:szCs w:val="19"/>
        </w:rPr>
        <w:t xml:space="preserve">	17</w:t>
      </w:r>
    </w:p>
    <w:p>
      <w:pPr>
        <w:spacing w:before="200"/>
      </w:pPr>
      <w:r>
        <w:rPr>
          <w:b/>
          <w:bCs/>
          <w:color w:val="1A4F9C"/>
          <w:sz w:val="24"/>
          <w:szCs w:val="24"/>
        </w:rPr>
        <w:t xml:space="preserve">Historial de versiones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787"/>
        <w:gridCol w:w="1125"/>
        <w:gridCol w:w="6756"/>
      </w:tblGrid>
      <w:tr>
        <w:trPr>
          <w:tblHeader/>
        </w:trPr>
        <w:tc>
          <w:tcPr>
            <w:tcW w:type="dxa" w:w="1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7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11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675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cambió y por qué</w:t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10-09-2026</w:t>
            </w:r>
          </w:p>
        </w:tc>
        <w:tc>
          <w:tcPr>
            <w:tcW w:type="dxa" w:w="7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1.0</w:t>
            </w:r>
          </w:p>
        </w:tc>
        <w:tc>
          <w:tcPr>
            <w:tcW w:type="dxa" w:w="11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Equipo 04</w:t>
            </w:r>
          </w:p>
        </w:tc>
        <w:tc>
          <w:tcPr>
            <w:tcW w:type="dxa" w:w="675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Entrega EP1: capítulos 1–5 (nivel 1), 7, 8.1–8.3, 9 y 10.</w:t>
            </w:r>
          </w:p>
        </w:tc>
      </w:tr>
      <w:tr>
        <w:trPr>
          <w:cantSplit/>
        </w:trPr>
        <w:tc>
          <w:tcPr>
            <w:tcW w:type="dxa" w:w="123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18-10-2026</w:t>
            </w:r>
          </w:p>
        </w:tc>
        <w:tc>
          <w:tcPr>
            <w:tcW w:type="dxa" w:w="7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1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Equipo 04</w:t>
            </w:r>
          </w:p>
        </w:tc>
        <w:tc>
          <w:tcPr>
            <w:tcW w:type="dxa" w:w="675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EP2. Correcciones a partir de la retroalimentación de EP1: (1) los códigos RF/RNF/RT ahora son los del caso (en EP1 se renumeraron y RF-4/RF-5 no coincidían con RF7/RF10); (2) el contexto suma vecinos que faltaban: motor de reglas legado (reserva, RNF3), Redshift, SIEM y la gerencia de riesgo como dueña de los umbrales; (3) en 5.1 el registro de auditoría lo escribe el dominio, no el servicio de inferencia; (4) se borró la orientación en cursiva; (5) el costo de 7.3 se recalculó desde mediciones y no desde supuestos; (6) se agrega el capítulo 6 que faltaba. Extensión EP2: 5.2, 5.3, 6, 7.1 actual/objetivo, 7.2 medido, 7.4 pipeline, 8.1–8.3 extendidos, 8.4 nuevo, ADR-4 a ADR-7 y anexo C.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t xml:space="preserve">1. Introducción y objetivos</w:t>
      </w:r>
    </w:p>
    <w:p>
      <w:pPr>
        <w:spacing w:after="90" w:line="264"/>
        <w:jc w:val="both"/>
      </w:pPr>
      <w:r>
        <w:rPr>
          <w:b/>
          <w:bCs/>
        </w:rPr>
        <w:t xml:space="preserve">Guardián Centinela</w:t>
      </w:r>
      <w:r>
        <w:t xml:space="preserve"> es el sistema de detección de fraude en línea, explicable y auditable de </w:t>
      </w:r>
      <w:r>
        <w:rPr>
          <w:b/>
          <w:bCs/>
        </w:rPr>
        <w:t xml:space="preserve">Kipu Pagos SpA</w:t>
      </w:r>
      <w:r>
        <w:t xml:space="preserve">. Evalúa cada transacción antes de autorizarla y devuelve </w:t>
      </w:r>
      <w:r>
        <w:rPr>
          <w:b/>
          <w:bCs/>
        </w:rPr>
        <w:t xml:space="preserve">aprobar, revisar o bloquear</w:t>
      </w:r>
      <w:r>
        <w:t xml:space="preserve"> junto con las razones ordenadas por peso. Su objetivo de negocio es bajar los falsos positivos sobre bloqueos de 40% a menos de 15% sin aumentar el fraude no detectado (hoy USD 500.000/año), porque los falsos positivos cuestan USD 1,16 millones al año, más del doble que el fraude. Este documento describe la arquitectura objetivo (AWS) y la </w:t>
      </w:r>
      <w:r>
        <w:rPr>
          <w:b/>
          <w:bCs/>
        </w:rPr>
        <w:t xml:space="preserve">primera versión construida en EP2</w:t>
      </w:r>
      <w:r>
        <w:t xml:space="preserve">, que corre completa en contenedores con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docker compose</w:t>
      </w:r>
      <w:r>
        <w:t xml:space="preserve">.</w:t>
      </w:r>
    </w:p>
    <w:p>
      <w:pPr>
        <w:pStyle w:val="Heading2"/>
        <w:spacing w:after="70" w:before="160"/>
      </w:pPr>
      <w:r>
        <w:t xml:space="preserve">1.1 Descripción general de los requisitos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8"/>
        <w:gridCol w:w="3179"/>
        <w:gridCol w:w="3424"/>
        <w:gridCol w:w="2325"/>
      </w:tblGrid>
      <w:tr>
        <w:trPr>
          <w:tblHeader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Requerimiento funcional (caso)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 qué condiciona la arquitectura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Dónde se ve en EP2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RF1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Evaluar cada transacción antes de autorizarla: aprobar, revisar o bloquear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Ruta síncrona con presupuesto de 100 ms (RNF1) dentro de los 150 ms del core (RT3)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POST /api/dominio/evaluar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RF2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Devolver las razones ordenadas por peso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Obliga a modelos explicables por factores (RT8): árboles + TreeSHAP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razones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/predict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RF3 / RO5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Riesgo ajusta umbrales sin desplegar código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Umbrales como datos versionados, no como constantes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umbrales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(solo INSERT)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RF4 / RF8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Reglas normativas y listas negras mandan sobre el modelo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Capa de reglas antes del modelo, en el dominio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reglas_duras()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del dominio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RF7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Reproducir la decisión de cualquier transacción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inmutable de entrada, versión de modelo y de umbral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predicciones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GET /predicciones/{id}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RF10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Detectar velocidad (mismo usuario/dispositivo en poco tiempo)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Historia reciente consultable en milisegundos (Redshift carga de noche, RT7)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Ventanas 10 min/24 h/1 h</w:t>
            </w:r>
          </w:p>
        </w:tc>
      </w:tr>
      <w:tr>
        <w:trPr>
          <w:cantSplit/>
        </w:trPr>
        <w:tc>
          <w:tcPr>
            <w:tcW w:type="dxa" w:w="9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RF11</w:t>
            </w:r>
          </w:p>
        </w:tc>
        <w:tc>
          <w:tcPr>
            <w:tcW w:type="dxa" w:w="31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publicar un modelo que empeora</w:t>
            </w:r>
          </w:p>
        </w:tc>
        <w:tc>
          <w:tcPr>
            <w:tcW w:type="dxa" w:w="342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Compuerta de métrica en el pipeline</w:t>
            </w:r>
          </w:p>
        </w:tc>
        <w:tc>
          <w:tcPr>
            <w:tcW w:type="dxa" w:w="23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Job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ia-modelo</w:t>
            </w:r>
            <w:r>
              <w:rPr>
                <w:b w:val="false"/>
                <w:bCs w:val="false"/>
                <w:sz w:val="16"/>
                <w:szCs w:val="16"/>
              </w:rPr>
              <w:t xml:space="preserve"> (PR-AUC ≥ 0,70)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1.2 Objetivos de calidad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15"/>
        <w:gridCol w:w="3344"/>
        <w:gridCol w:w="3347"/>
      </w:tblGrid>
      <w:tr>
        <w:trPr>
          <w:tblHeader/>
        </w:trPr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23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Atributo (ISO 25010)</w:t>
            </w:r>
          </w:p>
        </w:tc>
        <w:tc>
          <w:tcPr>
            <w:tcW w:type="dxa" w:w="33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Meta medible</w:t>
            </w:r>
          </w:p>
        </w:tc>
        <w:tc>
          <w:tcPr>
            <w:tcW w:type="dxa" w:w="334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se sacrifica por sostenerla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3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Eficiencia · tiempo de respuesta (RNF1)</w:t>
            </w:r>
          </w:p>
        </w:tc>
        <w:tc>
          <w:tcPr>
            <w:tcW w:type="dxa" w:w="33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p99 &lt; 100 ms desde que el core envía la transacción, a 5.500 tx/min (RNF4)</w:t>
            </w:r>
          </w:p>
        </w:tc>
        <w:tc>
          <w:tcPr>
            <w:tcW w:type="dxa" w:w="334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bureau (900 ms, RT5) y los ensambles pesados quedan fuera de la ruta síncrona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3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Adecuación funcional · exactitud (RNF8)</w:t>
            </w:r>
          </w:p>
        </w:tc>
        <w:tc>
          <w:tcPr>
            <w:tcW w:type="dxa" w:w="33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Falsos positivos &lt; 15% de los bloqueos; fraude no detectado &lt; USD 350.000/año</w:t>
            </w:r>
          </w:p>
        </w:tc>
        <w:tc>
          <w:tcPr>
            <w:tcW w:type="dxa" w:w="334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Un margen de riesgo en montos bajos para no bloquear clientes buenos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3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Mantenibilidad · analizabilidad y trazabilidad (RNF6, RNF7)</w:t>
            </w:r>
          </w:p>
        </w:tc>
        <w:tc>
          <w:tcPr>
            <w:tcW w:type="dxa" w:w="33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Razones en &lt; 5 s para el analista; auditor reproduce una decisión en &lt; 1 h</w:t>
            </w:r>
          </w:p>
        </w:tc>
        <w:tc>
          <w:tcPr>
            <w:tcW w:type="dxa" w:w="334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 descartan redes profundas: algo de precisión a cambio de explicación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1.3 Interesados (stakeholders)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2985"/>
        <w:gridCol w:w="4615"/>
      </w:tblGrid>
      <w:tr>
        <w:trPr>
          <w:tblHeader/>
        </w:trPr>
        <w:tc>
          <w:tcPr>
            <w:tcW w:type="dxa" w:w="23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 o nombre</w:t>
            </w:r>
          </w:p>
        </w:tc>
        <w:tc>
          <w:tcPr>
            <w:tcW w:type="dxa" w:w="29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espera del sistema</w:t>
            </w:r>
          </w:p>
        </w:tc>
        <w:tc>
          <w:tcPr>
            <w:tcW w:type="dxa" w:w="46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decisión de arquitectura le afecta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Ignacia Bravo · Gerenta de riesgo</w:t>
            </w:r>
          </w:p>
        </w:tc>
        <w:tc>
          <w:tcPr>
            <w:tcW w:type="dxa" w:w="29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Menos falsos positivos sin más fraude, explicable ante la CMF</w:t>
            </w:r>
          </w:p>
        </w:tc>
        <w:tc>
          <w:tcPr>
            <w:tcW w:type="dxa" w:w="46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Modelo explicable (ADR-1) y umbrales versionados que solo ella autoriza (RO5)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Matías Ortega · Jefe de ingeniería</w:t>
            </w:r>
          </w:p>
        </w:tc>
        <w:tc>
          <w:tcPr>
            <w:tcW w:type="dxa" w:w="29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no suba la latencia del core ni lo frene una caída</w:t>
            </w:r>
          </w:p>
        </w:tc>
        <w:tc>
          <w:tcPr>
            <w:tcW w:type="dxa" w:w="46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Llamada síncrona corta (ADR-2), réplicas con balanceo (ADR-5) y política de reserva (ADR-3)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Felipe Navarrete · Analista senior</w:t>
            </w:r>
          </w:p>
        </w:tc>
        <w:tc>
          <w:tcPr>
            <w:tcW w:type="dxa" w:w="29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Mejores herramientas sin quedar fuera</w:t>
            </w:r>
          </w:p>
        </w:tc>
        <w:tc>
          <w:tcPr>
            <w:tcW w:type="dxa" w:w="46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Cola priorizada por riesgo y razones visibles en el front en &lt; 5 s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Carolina Herrera · Cumplimiento</w:t>
            </w:r>
          </w:p>
        </w:tc>
        <w:tc>
          <w:tcPr>
            <w:tcW w:type="dxa" w:w="29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Trazabilidad total y reportes a la UAF</w:t>
            </w:r>
          </w:p>
        </w:tc>
        <w:tc>
          <w:tcPr>
            <w:tcW w:type="dxa" w:w="46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de predicciones con versión de modelo y umbral; S3 Object Lock en producción</w:t>
            </w:r>
          </w:p>
        </w:tc>
      </w:tr>
      <w:tr>
        <w:trPr>
          <w:cantSplit/>
        </w:trPr>
        <w:tc>
          <w:tcPr>
            <w:tcW w:type="dxa" w:w="23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 externo / CMF</w:t>
            </w:r>
          </w:p>
        </w:tc>
        <w:tc>
          <w:tcPr>
            <w:tcW w:type="dxa" w:w="29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Reproducir cualquier decisión pasada</w:t>
            </w:r>
          </w:p>
        </w:tc>
        <w:tc>
          <w:tcPr>
            <w:tcW w:type="dxa" w:w="46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GET /predicciones/{transaccion_id}</w:t>
            </w:r>
            <w:r>
              <w:rPr>
                <w:b w:val="false"/>
                <w:bCs w:val="false"/>
                <w:sz w:val="16"/>
                <w:szCs w:val="16"/>
              </w:rPr>
              <w:t xml:space="preserve"> une decisión, entrada y umbral vigente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2. Restricciones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7"/>
        <w:gridCol w:w="1328"/>
        <w:gridCol w:w="3382"/>
        <w:gridCol w:w="4109"/>
      </w:tblGrid>
      <w:tr>
        <w:trPr>
          <w:tblHeader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Restricción (caso)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le impide a la arquitectura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RT1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AWS con cuenta segregada PCI y otra para el resto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Otra nube; el sistema vive en la cuenta no-PCI y recibe solo tokens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RT2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USD 6.000/mes de infraestructura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Clústeres dedicados multirregión; obliga a medir antes de dimensionar (7.2–7.3)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RT3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core llama de forma síncrona con 150 ms totales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Colas en la ruta de decisión; consultas externas lentas en línea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RT4 / RNF5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PCI-DSS 4.0: el PAN no sale del entorno segregado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Recibir o guardar el número de tarjeta: el dominio rechaza cualquier PAN (422)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RT5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Bureau: USD 0,08 y 900 ms por consulta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Consultarlo en línea para todas las transacciones (USD 16.000/día, R9)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RT7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Redshift carga una vez al día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Calcular velocidad desde el data warehouse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RT8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Técnica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Toda decisión explicable a un auditor no técnico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Modelos de caja negra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RO2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Organizacional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Analistas de 08:00 a 22:00, sin turno de madrugada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Depender de revisión humana nocturna (49% del fraude ocurre 00–06)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RO3 / RO6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Organizacional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 semanas en modo sombra; el motor actual no se apaga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Decidir en activo desde el día 1; por eso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modo</w:t>
            </w:r>
            <w:r>
              <w:rPr>
                <w:b w:val="false"/>
                <w:bCs w:val="false"/>
                <w:sz w:val="16"/>
                <w:szCs w:val="16"/>
              </w:rPr>
              <w:t xml:space="preserve"> es configuración (RNF11)</w:t>
            </w:r>
          </w:p>
        </w:tc>
      </w:tr>
      <w:tr>
        <w:trPr>
          <w:cantSplit/>
        </w:trPr>
        <w:tc>
          <w:tcPr>
            <w:tcW w:type="dxa" w:w="1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RN7</w:t>
            </w:r>
          </w:p>
        </w:tc>
        <w:tc>
          <w:tcPr>
            <w:tcW w:type="dxa" w:w="13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Normativa</w:t>
            </w:r>
          </w:p>
        </w:tc>
        <w:tc>
          <w:tcPr>
            <w:tcW w:type="dxa" w:w="338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Retención de decisiones por 7 años (CMF)</w:t>
            </w:r>
          </w:p>
        </w:tc>
        <w:tc>
          <w:tcPr>
            <w:tcW w:type="dxa" w:w="41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Guardar la auditoría solo en bases operativas: exige almacenamiento WORM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3. Alcance y contexto del sistema</w:t>
      </w:r>
    </w:p>
    <w:p>
      <w:pPr>
        <w:pStyle w:val="Heading2"/>
        <w:spacing w:after="70" w:before="160"/>
      </w:pPr>
      <w:r>
        <w:t xml:space="preserve">3.1 Contexto empresarial</w:t>
      </w:r>
    </w:p>
    <w:p>
      <w:pPr>
        <w:spacing w:after="90" w:line="264"/>
        <w:jc w:val="both"/>
      </w:pPr>
      <w:r>
        <w:t xml:space="preserve">La figura 1 corrige la de EP1 según la retroalimentación: agrega el </w:t>
      </w:r>
      <w:r>
        <w:rPr>
          <w:b/>
          <w:bCs/>
        </w:rPr>
        <w:t xml:space="preserve">motor de reglas legado</w:t>
      </w:r>
      <w:r>
        <w:t xml:space="preserve"> (al que cae el core si el sistema no responde, RNF3), </w:t>
      </w:r>
      <w:r>
        <w:rPr>
          <w:b/>
          <w:bCs/>
        </w:rPr>
        <w:t xml:space="preserve">Redshift</w:t>
      </w:r>
      <w:r>
        <w:t xml:space="preserve"> como fuente del historial etiquetado, el </w:t>
      </w:r>
      <w:r>
        <w:rPr>
          <w:b/>
          <w:bCs/>
        </w:rPr>
        <w:t xml:space="preserve">SIEM</w:t>
      </w:r>
      <w:r>
        <w:t xml:space="preserve"> y a </w:t>
      </w:r>
      <w:r>
        <w:rPr>
          <w:b/>
          <w:bCs/>
        </w:rPr>
        <w:t xml:space="preserve">riesgo</w:t>
      </w:r>
      <w:r>
        <w:t xml:space="preserve"> como dueña de los umbrales. El alcance es la decisión sobre la transacción; no se construye la herramienta de analistas, se integra con ella.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581650" cy="3028950"/>
            <wp:effectExtent t="0" r="0" b="0" l="0"/>
            <wp:docPr id="1" name="01-contexto.png" descr="Diagrama de contexto (C4 nivel 1), actualizado desde EP1." title="Diagrama de contexto (C4 nivel 1), actualizado desde EP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1. Diagrama de contexto (C4 nivel 1), actualizado desde EP1.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2"/>
        <w:gridCol w:w="5699"/>
        <w:gridCol w:w="1765"/>
      </w:tblGrid>
      <w:tr>
        <w:trPr>
          <w:tblHeader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Vecino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intercambia con el sistema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Core de pagos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Envía la transacción tokenizada; recibe decisión y razones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Bidireccional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Motor de reglas legado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Decide si Guardián Centinela no responde en 100 ms (política de reserva)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Alternativa del core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Gerencia de riesgo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Publica umbrales, modo (sombra/activo) y política de reserva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Analistas de fraude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Reciben casos priorizados; devuelven la etiqueta confirmada (RF5, RF6)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Bidireccional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Listas de sanciones / listas negras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Archivo diario y entradas vetadas (RF8)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Redshift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Historial etiquetado para entrenar (no sirve en línea, RT7)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Entrada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Bureau de identidad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casos dudosos, fuera de la ruta síncrona (RT5)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Salida/consulta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 / CMF · SIEM</w:t>
            </w:r>
          </w:p>
        </w:tc>
        <w:tc>
          <w:tcPr>
            <w:tcW w:type="dxa" w:w="569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Registro de decisiones 7 años · logs de seguridad</w:t>
            </w:r>
          </w:p>
        </w:tc>
        <w:tc>
          <w:tcPr>
            <w:tcW w:type="dxa" w:w="176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Salida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3.2 Contexto técnico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2514600"/>
            <wp:effectExtent t="0" r="0" b="0" l="0"/>
            <wp:docPr id="1" name="02-contexto-tecnico.png" descr="Contexto técnico: canales, protocolos y formatos." title="Contexto técnico: canales, protocolos y forma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2. Contexto técnico: canales, protocolos y formatos.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4015"/>
        <w:gridCol w:w="2946"/>
      </w:tblGrid>
      <w:tr>
        <w:trPr>
          <w:tblHeader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Protocolo y formato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Restricción que aplica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Evaluación (core → sistema)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HTTPS/REST JSON, token de tarjeta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****NNNN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RT3 150 ms · RNF1 p99 &lt; 100 ms · RT4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Umbrales (riesgo → sistema)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POST /umbrales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X-Api-Key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del rol riesgo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RF3 · RNF10 · RO5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Cola de revisión (sistema ↔ consola)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HTTPS/REST JSON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RNF6 razones en &lt; 5 s · RO2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Bureau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HTTPS/REST JSON, asíncrono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RT5 900 ms · USD 0,08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Sanciones / listas negras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SFTP CSV diario · SQL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RT6</w:t>
            </w:r>
          </w:p>
        </w:tc>
      </w:tr>
      <w:tr>
        <w:trPr>
          <w:cantSplit/>
        </w:trPr>
        <w:tc>
          <w:tcPr>
            <w:tcW w:type="dxa" w:w="2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Auditoría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S3 API con Object Lock (producción)</w:t>
            </w:r>
          </w:p>
        </w:tc>
        <w:tc>
          <w:tcPr>
            <w:tcW w:type="dxa" w:w="29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RN7 · RT8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4. Estrategia de solución</w:t>
      </w:r>
    </w:p>
    <w:p>
      <w:pPr>
        <w:spacing w:after="90" w:line="264"/>
        <w:jc w:val="both"/>
      </w:pPr>
      <w:r>
        <w:t xml:space="preserve">La solución es </w:t>
      </w:r>
      <w:r>
        <w:rPr>
          <w:b/>
          <w:bCs/>
        </w:rPr>
        <w:t xml:space="preserve">híbrida por capas</w:t>
      </w:r>
      <w:r>
        <w:t xml:space="preserve"> (ADR-1): primero reglas duras y listas negras, que siempre mandan (RF4); después un modelo </w:t>
      </w:r>
      <w:r>
        <w:rPr>
          <w:b/>
          <w:bCs/>
        </w:rPr>
        <w:t xml:space="preserve">XGBoost</w:t>
      </w:r>
      <w:r>
        <w:t xml:space="preserve"> que estima la probabilidad de fraude y entrega sus factores con </w:t>
      </w:r>
      <w:r>
        <w:rPr>
          <w:b/>
          <w:bCs/>
        </w:rPr>
        <w:t xml:space="preserve">TreeSHAP</w:t>
      </w:r>
      <w:r>
        <w:t xml:space="preserve"> (RF2, RT8); al final, umbrales versionados que fija riesgo (RF3). La ruta de decisión es </w:t>
      </w:r>
      <w:r>
        <w:rPr>
          <w:b/>
          <w:bCs/>
        </w:rPr>
        <w:t xml:space="preserve">síncrona y corta</w:t>
      </w:r>
      <w:r>
        <w:t xml:space="preserve"> (ADR-2) y, si el modelo no responde a tiempo, el dominio aplica la </w:t>
      </w:r>
      <w:r>
        <w:rPr>
          <w:b/>
          <w:bCs/>
        </w:rPr>
        <w:t xml:space="preserve">política de reserva</w:t>
      </w:r>
      <w:r>
        <w:t xml:space="preserve"> que elige riesgo (ADR-3). En EP2 todo corre en contenedores; en producción, en </w:t>
      </w:r>
      <w:r>
        <w:rPr>
          <w:b/>
          <w:bCs/>
        </w:rPr>
        <w:t xml:space="preserve">ECS Fargate en dos zonas de disponibilidad</w:t>
      </w:r>
      <w:r>
        <w:t xml:space="preserve"> (ADR-6).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5503"/>
        <w:gridCol w:w="1927"/>
      </w:tblGrid>
      <w:tr>
        <w:trPr>
          <w:tblHeader/>
        </w:trPr>
        <w:tc>
          <w:tcPr>
            <w:tcW w:type="dxa" w:w="24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Objetivo de calidad (1.2)</w:t>
            </w:r>
          </w:p>
        </w:tc>
        <w:tc>
          <w:tcPr>
            <w:tcW w:type="dxa" w:w="55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Decisión que lo sostiene</w:t>
            </w:r>
          </w:p>
        </w:tc>
        <w:tc>
          <w:tcPr>
            <w:tcW w:type="dxa" w:w="192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Dónde se ve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1. p99 &lt; 100 ms</w:t>
            </w:r>
          </w:p>
        </w:tc>
        <w:tc>
          <w:tcPr>
            <w:tcW w:type="dxa" w:w="55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Llamada síncrona dominio → IA, modelo de árboles de 3 niveles (inferencia ≈ 5 ms), velocidad por consultas indexadas (Redis en producción)</w:t>
            </w:r>
          </w:p>
        </w:tc>
        <w:tc>
          <w:tcPr>
            <w:tcW w:type="dxa" w:w="192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Cap. 6, 7.2 · ADR-2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2. Falsos positivos &lt; 15%</w:t>
            </w:r>
          </w:p>
        </w:tc>
        <w:tc>
          <w:tcPr>
            <w:tcW w:type="dxa" w:w="55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Reglas duras + modelo con umbrales ajustables por riesgo; modo sombra para calibrar sobre tráfico real</w:t>
            </w:r>
          </w:p>
        </w:tc>
        <w:tc>
          <w:tcPr>
            <w:tcW w:type="dxa" w:w="192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8.4 · ADR-1, ADR-3</w:t>
            </w:r>
          </w:p>
        </w:tc>
      </w:tr>
      <w:tr>
        <w:trPr>
          <w:cantSplit/>
        </w:trPr>
        <w:tc>
          <w:tcPr>
            <w:tcW w:type="dxa" w:w="247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3. Explicación &lt; 5 s / auditoría &lt; 1 h</w:t>
            </w:r>
          </w:p>
        </w:tc>
        <w:tc>
          <w:tcPr>
            <w:tcW w:type="dxa" w:w="55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Razones TreeSHAP en cada respuesta y registro de cada decisión con versiones</w:t>
            </w:r>
          </w:p>
        </w:tc>
        <w:tc>
          <w:tcPr>
            <w:tcW w:type="dxa" w:w="192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5.3, 8.4 · ADR-1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4.1 Patrones arquitectónicos aplicados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3078"/>
        <w:gridCol w:w="4015"/>
        <w:gridCol w:w="939"/>
      </w:tblGrid>
      <w:tr>
        <w:trPr>
          <w:tblHeader/>
        </w:trPr>
        <w:tc>
          <w:tcPr>
            <w:tcW w:type="dxa" w:w="1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Patrón</w:t>
            </w:r>
          </w:p>
        </w:tc>
        <w:tc>
          <w:tcPr>
            <w:tcW w:type="dxa" w:w="30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Requerimiento del caso que lo justifica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Cómo se ve en el sistema entregado</w:t>
            </w:r>
          </w:p>
        </w:tc>
        <w:tc>
          <w:tcPr>
            <w:tcW w:type="dxa" w:w="9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Ficha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API Gateway</w:t>
            </w:r>
          </w:p>
        </w:tc>
        <w:tc>
          <w:tcPr>
            <w:tcW w:type="dxa" w:w="30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Un único punto de entrada controlado para el core y la consola (RT3, seguridad 8.3)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nginx publica solo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:8080</w:t>
            </w:r>
            <w:r>
              <w:rPr>
                <w:b w:val="false"/>
                <w:bCs w:val="false"/>
                <w:sz w:val="16"/>
                <w:szCs w:val="16"/>
              </w:rPr>
              <w:t xml:space="preserve">; enruta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/api/dominio/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/api/ia/</w:t>
            </w:r>
            <w:r>
              <w:rPr>
                <w:b w:val="false"/>
                <w:bCs w:val="false"/>
                <w:sz w:val="16"/>
                <w:szCs w:val="16"/>
              </w:rPr>
              <w:t xml:space="preserve">; tope de tasa y errores JSON</w:t>
            </w:r>
          </w:p>
        </w:tc>
        <w:tc>
          <w:tcPr>
            <w:tcW w:type="dxa" w:w="9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ADR-4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Microservicios (dominio / IA)</w:t>
            </w:r>
          </w:p>
        </w:tc>
        <w:tc>
          <w:tcPr>
            <w:tcW w:type="dxa" w:w="30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modelo cambia cada reentreno (RF11, RNF9) y las reglas no; deben escalar y publicarse por separado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Dos imágenes con su pipeline; la IA no toca la base, recibe todo en la petición</w:t>
            </w:r>
          </w:p>
        </w:tc>
        <w:tc>
          <w:tcPr>
            <w:tcW w:type="dxa" w:w="9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ADR-7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Réplicas con balanceo y health check</w:t>
            </w:r>
          </w:p>
        </w:tc>
        <w:tc>
          <w:tcPr>
            <w:tcW w:type="dxa" w:w="30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Disponibilidad 99,9% (RNF2) y tolerancia a fallos (RNF3)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ia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replicas: 2</w:t>
            </w:r>
            <w:r>
              <w:rPr>
                <w:b w:val="false"/>
                <w:bCs w:val="false"/>
                <w:sz w:val="16"/>
                <w:szCs w:val="16"/>
              </w:rPr>
              <w:t xml:space="preserve">, round-robin y reintento en la otra réplica; healthcheck en cada servicio</w:t>
            </w:r>
          </w:p>
        </w:tc>
        <w:tc>
          <w:tcPr>
            <w:tcW w:type="dxa" w:w="9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ADR-5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Event-Driven (candidato, producción)</w:t>
            </w:r>
          </w:p>
        </w:tc>
        <w:tc>
          <w:tcPr>
            <w:tcW w:type="dxa" w:w="307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Auditoría y features no deben competir por los 100 ms (ADR-2)</w:t>
            </w:r>
          </w:p>
        </w:tc>
        <w:tc>
          <w:tcPr>
            <w:tcW w:type="dxa" w:w="40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No implementado en EP2: la escritura es síncrona en PostgreSQL; en producción, lote a S3 cada minuto</w:t>
            </w:r>
          </w:p>
        </w:tc>
        <w:tc>
          <w:tcPr>
            <w:tcW w:type="dxa" w:w="93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ADR-2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5. Vista de bloques de construcción</w:t>
      </w:r>
    </w:p>
    <w:p>
      <w:pPr>
        <w:pStyle w:val="Heading2"/>
        <w:spacing w:after="70" w:before="160"/>
      </w:pPr>
      <w:r>
        <w:t xml:space="preserve">5.1 Nivel 1 — el sistema y su correspondencia con EP2</w:t>
      </w:r>
    </w:p>
    <w:p>
      <w:pPr>
        <w:spacing w:after="90" w:line="264"/>
        <w:jc w:val="both"/>
      </w:pPr>
      <w:r>
        <w:t xml:space="preserve">El nivel 1 (figura 1) muestra el sistema como una caja dentro de su entorno. La tabla traza cada bloque diseñado en EP1 a la pieza que existe hoy; donde difiere, se explica por qué.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2507"/>
        <w:gridCol w:w="2131"/>
        <w:gridCol w:w="3262"/>
      </w:tblGrid>
      <w:tr>
        <w:trPr>
          <w:tblHeader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Bloque EP1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Pieza en EP2 (compose)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Diferencia y razón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API de Evaluación / Reglas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Valida, aplica reglas duras y umbrales, orquesta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dominio</w:t>
            </w:r>
            <w:r>
              <w:rPr>
                <w:b w:val="false"/>
                <w:bCs w:val="false"/>
                <w:sz w:val="16"/>
                <w:szCs w:val="16"/>
              </w:rPr>
              <w:t xml:space="preserve"> (FastAPI)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Igual. Corrección EP1: también escribe el registro de auditoría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Servicio de Inferencia ML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Probabilidad + explicación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ia</w:t>
            </w:r>
            <w:r>
              <w:rPr>
                <w:b w:val="false"/>
                <w:bCs w:val="false"/>
                <w:sz w:val="16"/>
                <w:szCs w:val="16"/>
              </w:rPr>
              <w:t xml:space="preserve"> ×2 (FastAPI + XGBoost)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Igual; ahora con 2 réplicas balanceadas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Feature Store (Redis)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 en milisegundos (RF10)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Consultas indexadas en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db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En EP2 basta SQL (≈ 6 ms); Redis queda para producción (7.1)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Registro auditable (S3 WORM)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Decisiones inmutables 7 años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predicciones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db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S3 Object Lock no existe en local; se exporta en producción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Consola web del analista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Muestra decisiones y razones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front</w:t>
            </w:r>
            <w:r>
              <w:rPr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gateway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Página propia mínima; la consola real se integra (fuera de alcance)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50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Llenar la base con datos tratados</w:t>
            </w:r>
          </w:p>
        </w:tc>
        <w:tc>
          <w:tcPr>
            <w:tcW w:type="dxa" w:w="21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carga</w:t>
            </w:r>
            <w:r>
              <w:rPr>
                <w:b w:val="false"/>
                <w:bCs w:val="false"/>
                <w:sz w:val="16"/>
                <w:szCs w:val="16"/>
              </w:rPr>
              <w:t xml:space="preserve"> (una vez)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Nuevo en EP2 (sección 8.4)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5.2 Nivel 2 — contenedores</w:t>
      </w:r>
    </w:p>
    <w:p>
      <w:pPr>
        <w:spacing w:after="90" w:line="264"/>
        <w:jc w:val="both"/>
      </w:pPr>
      <w:r>
        <w:t xml:space="preserve">La figura 3 tiene exactamente los mismos servicios que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compose.yaml</w:t>
      </w:r>
      <w:r>
        <w:t xml:space="preserve">: gateway, front, dominio, ia (2 réplicas), carga y db. Cada flecha indica protocolo y ruta. El dominio consume la IA </w:t>
      </w:r>
      <w:r>
        <w:rPr>
          <w:b/>
          <w:bCs/>
        </w:rPr>
        <w:t xml:space="preserve">a través del gateway</w:t>
      </w:r>
      <w:r>
        <w:t xml:space="preserve">, de modo que el balanceo entre réplicas es el mismo para cualquier cliente.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762625" cy="3000375"/>
            <wp:effectExtent t="0" r="0" b="0" l="0"/>
            <wp:docPr id="1" name="03-contenedores.png" descr="Contenedores (C4 nivel 2): servicios del compose.yaml y cómo se comunican." title="Contenedores (C4 nivel 2): servicios del compose.yaml y cómo se comunic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3. Contenedores (C4 nivel 2): servicios del compose.yaml y cómo se comunican.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12"/>
        <w:gridCol w:w="2445"/>
        <w:gridCol w:w="1834"/>
        <w:gridCol w:w="1715"/>
      </w:tblGrid>
      <w:tr>
        <w:trPr>
          <w:tblHeader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Contenedor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Tecnología / imagen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Expone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gateway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Única puerta de entrada; enruta y balancea; tope de tasa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nginx 1.28 ·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gc-gateway:ep2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:8080</w:t>
            </w:r>
            <w:r>
              <w:rPr>
                <w:b w:val="false"/>
                <w:bCs w:val="false"/>
                <w:sz w:val="16"/>
                <w:szCs w:val="16"/>
              </w:rPr>
              <w:t xml:space="preserve"> (publicado)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front, dominio, ia (healthy)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front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Formulario de evaluación, resultado con razones, últimas decisiones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nginx 1.28 + HTML/JS ·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gc-front:ep2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:80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interno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dominio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Reglas duras, velocidad, umbrales, reserva; único que lee/escribe la base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3.12, FastAPI, psycopg ·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gc-dominio:ep2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:8000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interno,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/metrics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db (healthy), carga (completed)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ia (×2)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Inferencia + explicación; no accede a la base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3.12, FastAPI, XGBoost ·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gc-ia:ep2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:8000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interno,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/predict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/health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carga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 el esquema y carga las tablas tratadas sin duplicar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Python 3.12, psycopg ·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gc-carga:ep2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(termina)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db (healthy)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db</w:t>
            </w:r>
          </w:p>
        </w:tc>
        <w:tc>
          <w:tcPr>
            <w:tcW w:type="dxa" w:w="281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Usuarios, dispositivos, lista negra, transacciones, umbrales, predicciones</w:t>
            </w:r>
          </w:p>
        </w:tc>
        <w:tc>
          <w:tcPr>
            <w:tcW w:type="dxa" w:w="24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postgres:16-alpine</w:t>
            </w:r>
            <w:r>
              <w:rPr>
                <w:b w:val="false"/>
                <w:bCs w:val="false"/>
                <w:sz w:val="16"/>
                <w:szCs w:val="16"/>
              </w:rPr>
              <w:t xml:space="preserve"> + volumen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datos-pg</w:t>
            </w:r>
          </w:p>
        </w:tc>
        <w:tc>
          <w:tcPr>
            <w:tcW w:type="dxa" w:w="183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:5432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interno</w:t>
            </w:r>
          </w:p>
        </w:tc>
        <w:tc>
          <w:tcPr>
            <w:tcW w:type="dxa" w:w="171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5.3 Nivel 3 — componentes del microservicio de IA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581650" cy="2466975"/>
            <wp:effectExtent t="0" r="0" b="0" l="0"/>
            <wp:docPr id="1" name="04-componentes-ia.png" descr="Componentes (C4 nivel 3) del microservicio de IA." title="Componentes (C4 nivel 3) del microservicio de 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4. Componentes (C4 nivel 3) del microservicio de IA.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9"/>
        <w:gridCol w:w="5811"/>
        <w:gridCol w:w="2246"/>
      </w:tblGrid>
      <w:tr>
        <w:trPr>
          <w:tblHeader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0 · Cargador del modelo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Lee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modelo.json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metadata.json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(versión, métricas, variables) al arrancar;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responde 503 si no cargó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app/main.py · cargar_modelo()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1 · Validador de entrada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Contrato Pydantic: tipos y rangos (monto &gt; 0, hora 0–23, canal en lista, MCC de 4 dígitos); 422 si no cumple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EntradaPrediccion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2 · Vectorizador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Convierte el JSON en 44 variables; es el mismo código que usa el entrenamiento (evita diferencias entre entrenar y servir)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app/features.py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3 · Inferencia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XGBoost calcula el margen; la probabilidad es su sigmoide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Booster.predict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4 · Explicador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Aportes TreeSHAP de cada variable en la misma pasada; se devuelven los 5 de mayor peso con signo (RF2)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pred_contribs=True</w:t>
            </w:r>
          </w:p>
        </w:tc>
      </w:tr>
      <w:tr>
        <w:trPr>
          <w:cantSplit/>
        </w:trPr>
        <w:tc>
          <w:tcPr>
            <w:tcW w:type="dxa" w:w="184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5 · Respuesta</w:t>
            </w:r>
          </w:p>
        </w:tc>
        <w:tc>
          <w:tcPr>
            <w:tcW w:type="dxa" w:w="58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Probabilidad, razones, versión del modelo, réplica y latencia; métricas Prometheus</w:t>
            </w:r>
          </w:p>
        </w:tc>
        <w:tc>
          <w:tcPr>
            <w:tcW w:type="dxa" w:w="224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SalidaPrediccion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rPr>
          <w:b/>
          <w:bCs/>
        </w:rPr>
        <w:t xml:space="preserve">Contrato de</w:t>
      </w:r>
      <w:r>
        <w:t xml:space="preserve">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POST /predict</w:t>
      </w:r>
      <w:r>
        <w:t xml:space="preserve"> (resumen): entrada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{transaccion_id, monto_usd, hora_local, canal, mcc, pais_transaccion, intentos_previos_1h, tx_usuario_10min, tx_usuario_24h, tx_dispositivo_1h, ip_valida, en_lista_negra, u_* (usuario), d_* (dispositivo)}</w:t>
      </w:r>
      <w:r>
        <w:t xml:space="preserve">; salida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{probabilidad_fraude, razones:[{variable, aporte, valor}], version_modelo, replica, latencia_ms}</w:t>
      </w:r>
      <w:r>
        <w:t xml:space="preserve">.</w:t>
      </w:r>
    </w:p>
    <w:p>
      <w:pPr>
        <w:pStyle w:val="Heading1"/>
        <w:spacing w:after="100" w:before="200"/>
      </w:pPr>
      <w:r>
        <w:t xml:space="preserve">6. Vista de ejecución</w:t>
      </w:r>
    </w:p>
    <w:p>
      <w:pPr>
        <w:spacing w:after="90" w:line="264"/>
        <w:jc w:val="both"/>
      </w:pPr>
      <w:r>
        <w:t xml:space="preserve">La figura 5 recorre el flujo principal desde el front hasta el modelo y de vuelta, con los dos caminos de falla. Las cifras son de la medición de 7.2.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6124575" cy="3695700"/>
            <wp:effectExtent t="0" r="0" b="0" l="0"/>
            <wp:docPr id="1" name="05-secuencia.png" descr="Secuencia del flujo principal, con réplica caída y modelo que no responde." title="Secuencia del flujo principal, con réplica caída y modelo que no respon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5. Secuencia del flujo principal, con réplica caída y modelo que no responde.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Camino normal.</w:t>
      </w:r>
      <w:r>
        <w:t xml:space="preserve"> El dominio lee umbrales vigentes, usuario, dispositivo, lista negra y velocidad (≈ 6–8 ms), llama a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/api/ia/predict</w:t>
      </w:r>
      <w:r>
        <w:t xml:space="preserve"> (≈ 5 ms, inferencia interna media 5,2 ms) y registra la decisión (≈ 2 ms). Una petición aislada tarda 12–17 ms; bajo 133 req/s el p99 fue 80 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Se cae una réplica de IA.</w:t>
      </w:r>
      <w:r>
        <w:t xml:space="preserve"> nginx recibe conexión rechazada (502), marca la réplica caída por 10 s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max_fails=1</w:t>
      </w:r>
      <w:r>
        <w:t xml:space="preserve">) y reintenta la misma petición en la otra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proxy_next_upstream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/predict</w:t>
      </w:r>
      <w:r>
        <w:t xml:space="preserve"> no escribe nada, por eso es seguro). En la prueba (1.500 peticiones, réplica detenida a los 3 s) hubo </w:t>
      </w:r>
      <w:r>
        <w:rPr>
          <w:b/>
          <w:bCs/>
        </w:rPr>
        <w:t xml:space="preserve">0 errores</w:t>
      </w:r>
      <w:r>
        <w:t xml:space="preserve">: 1 petición reintentada (502 → 200) y el resto atendida por la réplica viva.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El modelo tarda más de 300 ms o las dos réplicas caen.</w:t>
      </w:r>
      <w:r>
        <w:t xml:space="preserve"> El gateway responde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503 servicio_no_disponible</w:t>
      </w:r>
      <w:r>
        <w:t xml:space="preserve">; el dominio aplica la </w:t>
      </w:r>
      <w:r>
        <w:rPr>
          <w:b/>
          <w:bCs/>
        </w:rPr>
        <w:t xml:space="preserve">política de reserva</w:t>
      </w:r>
      <w:r>
        <w:t xml:space="preserve"> de la versión de umbrales vigente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reglas</w:t>
      </w:r>
      <w:r>
        <w:t xml:space="preserve"> por defecto: lista negra → bloquear; monto &gt; USD 150, 3+ intentos o país extranjero → revisar; si no, aprobar). La decisión se registra con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origen = reserva</w:t>
      </w:r>
      <w:r>
        <w:t xml:space="preserve"> y el front muestra el aviso. Las reglas duras siempre mandan.</w:t>
      </w:r>
    </w:p>
    <w:p>
      <w:pPr>
        <w:pStyle w:val="Heading1"/>
        <w:spacing w:after="100" w:before="200"/>
      </w:pPr>
      <w:r>
        <w:t xml:space="preserve">7. Vista de implementación</w:t>
      </w:r>
    </w:p>
    <w:p>
      <w:pPr>
        <w:pStyle w:val="Heading2"/>
        <w:spacing w:after="70" w:before="160"/>
      </w:pPr>
      <w:r>
        <w:t xml:space="preserve">7.1 Despliegue actual y objetivo</w:t>
      </w:r>
    </w:p>
    <w:p>
      <w:pPr>
        <w:spacing w:after="90" w:line="264"/>
        <w:jc w:val="both"/>
      </w:pPr>
      <w:r>
        <w:rPr>
          <w:b/>
          <w:bCs/>
        </w:rPr>
        <w:t xml:space="preserve">Actual (figura 6).</w:t>
      </w:r>
      <w:r>
        <w:t xml:space="preserve"> Un solo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compose.yaml</w:t>
      </w:r>
      <w:r>
        <w:t xml:space="preserve"> levanta todo con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docker compose -p equipo04 pull</w:t>
      </w:r>
      <w:r>
        <w:t xml:space="preserve"> y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up -d</w:t>
      </w:r>
      <w:r>
        <w:t xml:space="preserve">. Solo descarga imágenes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:ep2</w:t>
      </w:r>
      <w:r>
        <w:t xml:space="preserve"> públicas de GHCR (linux/amd64), sin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build</w:t>
      </w:r>
      <w:r>
        <w:t xml:space="preserve">, sin bind mounts; la base persiste en el volumen con nombre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datos-pg</w:t>
      </w:r>
      <w:r>
        <w:t xml:space="preserve">; solo el gateway publica el puerto 8080; cada servicio propio tiene healthcheck y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cpus</w:t>
      </w:r>
      <w:r>
        <w:t xml:space="preserve">/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mem_limit</w:t>
      </w:r>
      <w:r>
        <w:t xml:space="preserve"> (7.2).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2038350"/>
            <wp:effectExtent t="0" r="0" b="0" l="0"/>
            <wp:docPr id="1" name="06-despliegue-actual.png" descr="Despliegue actual: compose en un computador, red interna y un único puerto publicado." title="Despliegue actual: compose en un computador, red interna y un único puerto publ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6. Despliegue actual: compose en un computador, red interna y un único puerto publicado.</w:t>
      </w:r>
    </w:p>
    <w:p>
      <w:pPr>
        <w:spacing w:after="90" w:line="264"/>
        <w:jc w:val="both"/>
      </w:pPr>
      <w:r>
        <w:rPr>
          <w:b/>
          <w:bCs/>
        </w:rPr>
        <w:t xml:space="preserve">Objetivo (figura 7).</w:t>
      </w:r>
      <w:r>
        <w:t xml:space="preserve"> AWS us-east-1, cuenta no-PCI (RT1). ALB con WAF delante de servicios ECS Fargate repartidos en </w:t>
      </w:r>
      <w:r>
        <w:rPr>
          <w:b/>
          <w:bCs/>
        </w:rPr>
        <w:t xml:space="preserve">dos zonas de disponibilidad</w:t>
      </w:r>
      <w:r>
        <w:t xml:space="preserve">; el dominio llama a la IA por </w:t>
      </w:r>
      <w:r>
        <w:rPr>
          <w:b/>
          <w:bCs/>
        </w:rPr>
        <w:t xml:space="preserve">ECS Service Connect</w:t>
      </w:r>
      <w:r>
        <w:t xml:space="preserve"> (balanceo y reintento, el papel que hoy cumple nginx); RDS PostgreSQL Multi-AZ, ElastiCache Redis como feature store y S3 Object Lock para la auditoría de 7 años. En EP3 la IA pasa a un endpoint de SageMaker.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6124575" cy="2676525"/>
            <wp:effectExtent t="0" r="0" b="0" l="0"/>
            <wp:docPr id="1" name="07-despliegue-objetivo.png" descr="Despliegue objetivo en AWS: orquestador, réplicas, ALB y zonas de disponibilidad." title="Despliegue objetivo en AWS: orquestador, réplicas, ALB y zonas de disponibi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7. Despliegue objetivo en AWS: orquestador, réplicas, ALB y zonas de disponibilidad.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4226"/>
        <w:gridCol w:w="4228"/>
      </w:tblGrid>
      <w:tr>
        <w:trPr>
          <w:tblHeader/>
        </w:trPr>
        <w:tc>
          <w:tcPr>
            <w:tcW w:type="dxa" w:w="145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Balanceo</w:t>
            </w:r>
          </w:p>
        </w:tc>
        <w:tc>
          <w:tcPr>
            <w:tcW w:type="dxa" w:w="42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Hoy (gateway nginx)</w:t>
            </w:r>
          </w:p>
        </w:tc>
        <w:tc>
          <w:tcPr>
            <w:tcW w:type="dxa" w:w="42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Objetivo (ALB + Service Connect)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Algoritmo</w:t>
            </w:r>
          </w:p>
        </w:tc>
        <w:tc>
          <w:tcPr>
            <w:tcW w:type="dxa" w:w="42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Round-robin entre las IP de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ia</w:t>
            </w:r>
            <w:r>
              <w:rPr>
                <w:b w:val="false"/>
                <w:bCs w:val="false"/>
                <w:sz w:val="16"/>
                <w:szCs w:val="16"/>
              </w:rPr>
              <w:t xml:space="preserve"> que entrega el DNS de Docker (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resolve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re-resuelve cada 5 s)</w:t>
            </w:r>
          </w:p>
        </w:tc>
        <w:tc>
          <w:tcPr>
            <w:tcW w:type="dxa" w:w="42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ALB round-robin / least outstanding requests; Service Connect (Envoy) round-robin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Health check</w:t>
            </w:r>
          </w:p>
        </w:tc>
        <w:tc>
          <w:tcPr>
            <w:tcW w:type="dxa" w:w="42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Pasivo: 1 fallo saca la réplica 10 s; activo en Docker: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cada 10 s, 3 reintentos</w:t>
            </w:r>
          </w:p>
        </w:tc>
        <w:tc>
          <w:tcPr>
            <w:tcW w:type="dxa" w:w="42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ALB: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GET 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cada 10 s, 2 fallos = no sano; ECS reemplaza la tarea</w:t>
            </w:r>
          </w:p>
        </w:tc>
      </w:tr>
      <w:tr>
        <w:trPr>
          <w:cantSplit/>
        </w:trPr>
        <w:tc>
          <w:tcPr>
            <w:tcW w:type="dxa" w:w="145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Reintento</w:t>
            </w:r>
          </w:p>
        </w:tc>
        <w:tc>
          <w:tcPr>
            <w:tcW w:type="dxa" w:w="42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proxy_next_upstream error timeout 502 503</w:t>
            </w:r>
            <w:r>
              <w:rPr>
                <w:b w:val="false"/>
                <w:bCs w:val="false"/>
                <w:sz w:val="16"/>
                <w:szCs w:val="16"/>
              </w:rPr>
              <w:t xml:space="preserve">, 2 intentos</w:t>
            </w:r>
          </w:p>
        </w:tc>
        <w:tc>
          <w:tcPr>
            <w:tcW w:type="dxa" w:w="42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Service Connect: reintento en otra tarea; timeout 300 ms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2377"/>
        <w:gridCol w:w="5945"/>
      </w:tblGrid>
      <w:tr>
        <w:trPr>
          <w:tblHeader/>
        </w:trPr>
        <w:tc>
          <w:tcPr>
            <w:tcW w:type="dxa" w:w="158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23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Imagen base</w:t>
            </w:r>
          </w:p>
        </w:tc>
        <w:tc>
          <w:tcPr>
            <w:tcW w:type="dxa" w:w="5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 qué esa y no otra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gateway, front</w:t>
            </w:r>
          </w:p>
        </w:tc>
        <w:tc>
          <w:tcPr>
            <w:tcW w:type="dxa" w:w="23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nginx:1.28-alpine</w:t>
            </w:r>
          </w:p>
        </w:tc>
        <w:tc>
          <w:tcPr>
            <w:tcW w:type="dxa" w:w="5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≈ 20 MB; 1.28 es la primera estable con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resolve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upstream sin NGINX Plus (necesario para re-descubrir réplicas)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dominio, carga</w:t>
            </w:r>
          </w:p>
        </w:tc>
        <w:tc>
          <w:tcPr>
            <w:tcW w:type="dxa" w:w="23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python:3.12-slim</w:t>
            </w:r>
          </w:p>
        </w:tc>
        <w:tc>
          <w:tcPr>
            <w:tcW w:type="dxa" w:w="5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glibc: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psycopg[binary]</w:t>
            </w:r>
            <w:r>
              <w:rPr>
                <w:b w:val="false"/>
                <w:bCs w:val="false"/>
                <w:sz w:val="16"/>
                <w:szCs w:val="16"/>
              </w:rPr>
              <w:t xml:space="preserve"> trae libpq precompilada; en alpine habría que compilar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ia</w:t>
            </w:r>
          </w:p>
        </w:tc>
        <w:tc>
          <w:tcPr>
            <w:tcW w:type="dxa" w:w="23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python:3.12-slim</w:t>
            </w:r>
            <w:r>
              <w:rPr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xgboost-cpu</w:t>
            </w:r>
          </w:p>
        </w:tc>
        <w:tc>
          <w:tcPr>
            <w:tcW w:type="dxa" w:w="5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Ruedas manylinux listas;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xgboost-cpu</w:t>
            </w:r>
            <w:r>
              <w:rPr>
                <w:b w:val="false"/>
                <w:bCs w:val="false"/>
                <w:sz w:val="16"/>
                <w:szCs w:val="16"/>
              </w:rPr>
              <w:t xml:space="preserve"> pesa 4,5 MB contra 150 MB del paquete con CUDA. Sin PyTorch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db</w:t>
            </w:r>
          </w:p>
        </w:tc>
        <w:tc>
          <w:tcPr>
            <w:tcW w:type="dxa" w:w="23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postgres:16-alpine</w:t>
            </w:r>
            <w:r>
              <w:rPr>
                <w:b w:val="false"/>
                <w:bCs w:val="false"/>
                <w:sz w:val="16"/>
                <w:szCs w:val="16"/>
              </w:rPr>
              <w:t xml:space="preserve"> (oficial)</w:t>
            </w:r>
          </w:p>
        </w:tc>
        <w:tc>
          <w:tcPr>
            <w:tcW w:type="dxa" w:w="594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Imagen oficial liviana, mismo motor que RDS PostgreSQL del objetivo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t xml:space="preserve">Todas las imágenes propias corren con un usuario sin privilegios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uid 10001</w:t>
      </w:r>
      <w:r>
        <w:t xml:space="preserve">) salvo las de nginx. El total estimado de imágenes es &lt; 1,1 GB (bajo el límite de 2 GB), verificable con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docker image ls</w:t>
      </w:r>
      <w:r>
        <w:t xml:space="preserve">.</w:t>
      </w:r>
    </w:p>
    <w:p>
      <w:pPr>
        <w:pStyle w:val="Heading2"/>
        <w:spacing w:after="70" w:before="160"/>
      </w:pPr>
      <w:r>
        <w:t xml:space="preserve">7.2 Dimensionamiento de recursos</w:t>
      </w:r>
    </w:p>
    <w:p>
      <w:pPr>
        <w:spacing w:after="90" w:line="264"/>
        <w:jc w:val="both"/>
      </w:pPr>
      <w:r>
        <w:rPr>
          <w:b/>
          <w:bCs/>
        </w:rPr>
        <w:t xml:space="preserve">Cómo se midió.</w:t>
      </w:r>
      <w:r>
        <w:t xml:space="preserve"> Con el sistema levantado,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herramientas/generar_carga.py</w:t>
      </w:r>
      <w:r>
        <w:t xml:space="preserve"> envía evaluaciones concurrentes por el gateway mientras se lee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docker stats</w:t>
      </w:r>
      <w:r>
        <w:t xml:space="preserve"> (MEM USAGE y CPU %). Además se midió el </w:t>
      </w:r>
      <w:r>
        <w:rPr>
          <w:b/>
          <w:bCs/>
        </w:rPr>
        <w:t xml:space="preserve">tiempo de CPU por petición</w:t>
      </w:r>
      <w:r>
        <w:t xml:space="preserve"> de cada servicio (utime + stime de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/proc</w:t>
      </w:r>
      <w:r>
        <w:t xml:space="preserve"> antes y después de 2.000 peticiones). Entorno: 2 vCPU, todos los servicios en el mismo equipo.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1570"/>
        <w:gridCol w:w="966"/>
        <w:gridCol w:w="1691"/>
        <w:gridCol w:w="2536"/>
        <w:gridCol w:w="2177"/>
      </w:tblGrid>
      <w:tr>
        <w:trPr>
          <w:tblHeader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Memoria pico medida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CPU por petición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Límite compose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Por qué ese límite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Proyección AWS (producción)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ia (c/u)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176 MB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3,1 ms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cpus 0.5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mem_limit 256m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1,45× el pico; 0,5 CPU atiende ≈ 160 req/s por réplica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Fargate 0,5 vCPU/1 GB × 2 (1 por AZ)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dominio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71 MB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4,5 ms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cpus 1.0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160m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2,2× el pico (pool de 8 conexiones); 1 CPU ≈ 220 req/s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Fargate 0,5 vCPU/1 GB × 2, autoescala a 4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db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≈ 40 MB/proceso (14 procesos, memoria compartida)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2,9 ms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cpus 1.0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256m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shared_buffers 128 MB + conexiones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RDS db.t4g.medium Multi-AZ, 200 GB gp3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gateway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 10 MB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 0,5 ms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0.5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64m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nginx: memoria casi constante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Reemplazado por ALB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front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 5 MB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≈ 0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0.25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32m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Solo archivos estáticos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Fargate 0,25 vCPU/0,5 GB × 2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carga</w:t>
            </w:r>
          </w:p>
        </w:tc>
        <w:tc>
          <w:tcPr>
            <w:tcW w:type="dxa" w:w="157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≈ 40 MB (una vez)</w:t>
            </w:r>
          </w:p>
        </w:tc>
        <w:tc>
          <w:tcPr>
            <w:tcW w:type="dxa" w:w="96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9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0.5</w:t>
            </w:r>
            <w:r>
              <w:rPr>
                <w:b w:val="false"/>
                <w:bCs w:val="false"/>
                <w:sz w:val="15"/>
                <w:szCs w:val="15"/>
              </w:rPr>
              <w:t xml:space="preserve"> ·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128m</w:t>
            </w:r>
          </w:p>
        </w:tc>
        <w:tc>
          <w:tcPr>
            <w:tcW w:type="dxa" w:w="253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Copia por bloques de 64 KB, no carga todo en memoria</w:t>
            </w:r>
          </w:p>
        </w:tc>
        <w:tc>
          <w:tcPr>
            <w:tcW w:type="dxa" w:w="2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Tarea ECS programada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rPr>
          <w:b/>
          <w:bCs/>
        </w:rPr>
        <w:t xml:space="preserve">Proyección al volumen del caso.</w:t>
      </w:r>
      <w:r>
        <w:t xml:space="preserve"> RNF4 pide 1.000.000 tx/día con peak de 5.500/min = </w:t>
      </w:r>
      <w:r>
        <w:rPr>
          <w:b/>
          <w:bCs/>
        </w:rPr>
        <w:t xml:space="preserve">92 req/s</w:t>
      </w:r>
      <w:r>
        <w:t xml:space="preserve">. CPU necesaria en el peak: dominio 92 × 4,5 ms = </w:t>
      </w:r>
      <w:r>
        <w:rPr>
          <w:b/>
          <w:bCs/>
        </w:rPr>
        <w:t xml:space="preserve">0,42 vCPU</w:t>
      </w:r>
      <w:r>
        <w:t xml:space="preserve">, IA 92 × 3,1 ms = </w:t>
      </w:r>
      <w:r>
        <w:rPr>
          <w:b/>
          <w:bCs/>
        </w:rPr>
        <w:t xml:space="preserve">0,28 vCPU</w:t>
      </w:r>
      <w:r>
        <w:t xml:space="preserve">, base 92 × 2,9 ms = </w:t>
      </w:r>
      <w:r>
        <w:rPr>
          <w:b/>
          <w:bCs/>
        </w:rPr>
        <w:t xml:space="preserve">0,27 vCPU</w:t>
      </w:r>
      <w:r>
        <w:t xml:space="preserve">. Con dos tareas de 0,5 vCPU por servicio (una por zona), si cae una zona la otra queda al 84% (dominio) y al 57% (IA): sobrevive sin rediseño y el autoescalado agrega tareas al 60% de CPU. En la medición local el sistema sostuvo </w:t>
      </w:r>
      <w:r>
        <w:rPr>
          <w:b/>
          <w:bCs/>
        </w:rPr>
        <w:t xml:space="preserve">133 req/s (8.003/min)</w:t>
      </w:r>
      <w:r>
        <w:t xml:space="preserve">, 1,45 veces el peak, con p99 de 80 ms por el gateway. </w:t>
      </w:r>
      <w:r>
        <w:rPr>
          <w:b/>
          <w:bCs/>
        </w:rPr>
        <w:t xml:space="preserve">Almacenamiento:</w:t>
      </w:r>
      <w:r>
        <w:t xml:space="preserve"> cada predicción ocupa 1,8 KB → 1,8 GB/día; se mantienen 90 días en RDS (≈ 160 GB) y el resto se exporta a S3. </w:t>
      </w:r>
      <w:r>
        <w:rPr>
          <w:b/>
          <w:bCs/>
        </w:rPr>
        <w:t xml:space="preserve">GPU:</w:t>
      </w:r>
      <w:r>
        <w:t xml:space="preserve"> no se usa; XGBoost de 200 árboles de profundidad 3 infiere en ≈ 5 ms en CPU. </w:t>
      </w:r>
      <w:r>
        <w:rPr>
          <w:b/>
          <w:bCs/>
        </w:rPr>
        <w:t xml:space="preserve">Red:</w:t>
      </w:r>
      <w:r>
        <w:t xml:space="preserve"> ≈ 2 KB por decisión → 2 GB/día dentro de la VPC.</w:t>
      </w:r>
    </w:p>
    <w:p>
      <w:pPr>
        <w:spacing w:after="90" w:line="264"/>
        <w:jc w:val="both"/>
      </w:pPr>
      <w:r>
        <w:t xml:space="preserve">Si el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mem_limit</w:t>
      </w:r>
      <w:r>
        <w:t xml:space="preserve"> fuera menor que el consumo (p. ej. 128m para la IA), el kernel mata el proceso (OOMKilled, código 137), Docker lo reinicia por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restart: unless-stopped</w:t>
      </w:r>
      <w:r>
        <w:t xml:space="preserve"> y, mientras tanto, el gateway envía todo a la otra réplica.</w:t>
      </w:r>
    </w:p>
    <w:p>
      <w:pPr>
        <w:pStyle w:val="Heading2"/>
        <w:spacing w:after="70" w:before="160"/>
      </w:pPr>
      <w:r>
        <w:t xml:space="preserve">7.3 Estimación de costos mensuales (despliegue objetivo, 1.000.000 tx/día)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4"/>
        <w:gridCol w:w="3087"/>
        <w:gridCol w:w="900"/>
        <w:gridCol w:w="3475"/>
      </w:tblGrid>
      <w:tr>
        <w:trPr>
          <w:tblHeader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Servicio AWS (us-east-1)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Supuesto (de 7.2)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USD/mes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 dónde sale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ECS Fargate · dominio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 tareas × 0,5 vCPU / 1 GB, 730 h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0,04048 USD/vCPU-h + 0,004445 USD/GB-h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ECS Fargate · IA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 tareas × 0,5 vCPU / 1 GB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Ídem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ECS Fargate · front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 tareas × 0,25 vCPU / 0,5 GB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Ídem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Autoescalado en peak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+2 tareas dominio/IA, 4 h/día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Ídem, 120 h/mes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Application Load Balancer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 ALB + ≈ 2 LCU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0,0225 USD/h + 0,008 USD/LCU-h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AWS WAF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 ACL, 5 reglas, 30 M req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 + 5 × 1 + 0,60 USD/M req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RDS PostgreSQL Multi-AZ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db.t4g.medium + 200 GB gp3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141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0,130 USD/h Multi-AZ + 0,23 USD/GB-mes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ElastiCache Redis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cache.t4g.small (primario + réplica)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0,032 USD/h por nodo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NAT Gateway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 (uno por AZ) + 50 GB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0,045 USD/h + 0,045 USD/GB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S3 Object Lock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≈ 11 GB/mes comprimidos, acumulado año 1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0,023 USD/GB-mes + PUT por lote/min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Observabilidad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CloudWatch logs 9 GB + Managed Prometheus + Grafana 2 editores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0,50 USD/GB; 0,90 USD/10 M muestras; 9 USD/editor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Otros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Secrets Manager, ECR, transferencia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0,40 USD/secreto; 0,10 USD/GB</w:t>
            </w:r>
          </w:p>
        </w:tc>
      </w:tr>
      <w:tr>
        <w:trPr>
          <w:cantSplit/>
        </w:trPr>
        <w:tc>
          <w:tcPr>
            <w:tcW w:type="dxa" w:w="244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dxa" w:w="308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≈ 30 M decisiones/mes</w:t>
            </w:r>
          </w:p>
        </w:tc>
        <w:tc>
          <w:tcPr>
            <w:tcW w:type="dxa" w:w="90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≈ 487</w:t>
            </w:r>
          </w:p>
        </w:tc>
        <w:tc>
          <w:tcPr>
            <w:tcW w:type="dxa" w:w="347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8% del tope de USD 6.000 (RT2) · ≈ USD 16 por millón de decisiones (RNF12)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t xml:space="preserve">Precios de lista on-demand us-east-1 (AWS Pricing Calculator, octubre 2026). Respecto de EP1 (USD 700) baja porque ahora el tamaño de cada tarea sale de la medición y no de un supuesto de 2 vCPU/4 GB. No incluye el bureau: consultarlo solo en los casos «revisar» (≈ 2,4% del tráfico) cuesta ≈ 4.800 × 0,08 = USD 384/día, que es costo operativo y no de infraestructura.</w:t>
      </w:r>
    </w:p>
    <w:p>
      <w:pPr>
        <w:pStyle w:val="Heading2"/>
        <w:spacing w:after="70" w:before="160"/>
      </w:pPr>
      <w:r>
        <w:t xml:space="preserve">7.4 Pipeline y gitflow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400675" cy="3562350"/>
            <wp:effectExtent t="0" r="0" b="0" l="0"/>
            <wp:docPr id="1" name="08-pipeline.png" descr="Pipeline: de una rama feat/ a la imagen :ep2 en GHCR." title="Pipeline: de una rama feat/ a la imagen :ep2 en GHC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8. Pipeline: de una rama feat/ a la imagen :ep2 en GHCR.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7821"/>
      </w:tblGrid>
      <w:tr>
        <w:trPr>
          <w:tblHeader/>
        </w:trPr>
        <w:tc>
          <w:tcPr>
            <w:tcW w:type="dxa" w:w="20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Evento</w:t>
            </w:r>
          </w:p>
        </w:tc>
        <w:tc>
          <w:tcPr>
            <w:tcW w:type="dxa" w:w="782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hace el workflow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ci.yml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PR hacia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dev</w:t>
            </w:r>
            <w:r>
              <w:rPr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main</w:t>
            </w:r>
          </w:p>
        </w:tc>
        <w:tc>
          <w:tcPr>
            <w:tcW w:type="dxa" w:w="782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datos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(preparar.py + pruebas de nulos/duplicados),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ia-modelo</w:t>
            </w:r>
            <w:r>
              <w:rPr>
                <w:b w:val="false"/>
                <w:bCs w:val="false"/>
                <w:sz w:val="16"/>
                <w:szCs w:val="16"/>
              </w:rPr>
              <w:t xml:space="preserve"> (entrena y aplica la compuerta),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dominio-carga</w:t>
            </w:r>
            <w:r>
              <w:rPr>
                <w:b w:val="false"/>
                <w:bCs w:val="false"/>
                <w:sz w:val="16"/>
                <w:szCs w:val="16"/>
              </w:rPr>
              <w:t xml:space="preserve"> (PostgreSQL de servicio: carga dos veces sin duplicar y prueba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/evaluar</w:t>
            </w:r>
            <w:r>
              <w:rPr>
                <w:b w:val="false"/>
                <w:bCs w:val="false"/>
                <w:sz w:val="16"/>
                <w:szCs w:val="16"/>
              </w:rPr>
              <w:t xml:space="preserve">, incluida la caída de la IA) y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gateway-front</w:t>
            </w:r>
            <w:r>
              <w:rPr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nginx -t</w:t>
            </w:r>
            <w:r>
              <w:rPr>
                <w:b w:val="false"/>
                <w:bCs w:val="false"/>
                <w:sz w:val="16"/>
                <w:szCs w:val="16"/>
              </w:rPr>
              <w:t xml:space="preserve">). Construye las 5 imágenes </w:t>
            </w:r>
            <w:r>
              <w:rPr>
                <w:b w:val="false"/>
                <w:bCs w:val="false"/>
                <w:sz w:val="16"/>
                <w:szCs w:val="16"/>
              </w:rPr>
              <w:t xml:space="preserve">sin publicar</w:t>
            </w:r>
            <w:r>
              <w:rPr>
                <w:b w:val="false"/>
                <w:bCs w:val="false"/>
                <w:sz w:val="16"/>
                <w:szCs w:val="16"/>
              </w:rPr>
              <w:t xml:space="preserve">. Si algo falla, el PR no se integra.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Push 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main</w:t>
            </w:r>
            <w:r>
              <w:rPr>
                <w:sz w:val="16"/>
                <w:szCs w:val="16"/>
              </w:rPr>
              <w:t xml:space="preserve"> (merge desde dev)</w:t>
            </w:r>
          </w:p>
        </w:tc>
        <w:tc>
          <w:tcPr>
            <w:tcW w:type="dxa" w:w="782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Lo mismo y además publica en GHCR con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sha-&lt;commit&gt;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latest</w:t>
            </w:r>
            <w:r>
              <w:rPr>
                <w:b w:val="false"/>
                <w:bCs w:val="false"/>
                <w:sz w:val="16"/>
                <w:szCs w:val="16"/>
              </w:rPr>
              <w:t xml:space="preserve">.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docker/metadata-action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agrega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org.opencontainers.image.revision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8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Tag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ep2</w:t>
            </w:r>
            <w:r>
              <w:rPr>
                <w:sz w:val="16"/>
                <w:szCs w:val="16"/>
              </w:rPr>
              <w:t xml:space="preserve"> sobre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main</w:t>
            </w:r>
          </w:p>
        </w:tc>
        <w:tc>
          <w:tcPr>
            <w:tcW w:type="dxa" w:w="782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Publica las mismas imágenes con el tag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ep2</w:t>
            </w:r>
            <w:r>
              <w:rPr>
                <w:b w:val="false"/>
                <w:bCs w:val="false"/>
                <w:sz w:val="16"/>
                <w:szCs w:val="16"/>
              </w:rPr>
              <w:t xml:space="preserve">, que es el que usa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compose.yaml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rPr>
          <w:b/>
          <w:bCs/>
        </w:rPr>
        <w:t xml:space="preserve">Gitflow.</w:t>
      </w:r>
      <w:r>
        <w:t xml:space="preserve">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main</w:t>
      </w:r>
      <w:r>
        <w:t xml:space="preserve"> protegida (solo por PR desde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dev</w:t>
      </w:r>
      <w:r>
        <w:t xml:space="preserve">),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dev</w:t>
      </w:r>
      <w:r>
        <w:t xml:space="preserve"> de integración y ramas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feat/&lt;descripción&gt;</w:t>
      </w:r>
      <w:r>
        <w:t xml:space="preserve"> de corta vida, por ejemplo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feat/datos-tratamiento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feat/ia-modelo-v1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feat/dominio-reglas-umbrales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feat/gateway-balanceo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feat/front-formulario</w:t>
      </w:r>
      <w:r>
        <w:t xml:space="preserve"> y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feat/pipeline-ci</w:t>
      </w:r>
      <w:r>
        <w:t xml:space="preserve">. Cada integrante integró al menos dos PR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feat/</w:t>
      </w:r>
      <w:r>
        <w:t xml:space="preserve"> con su propio usuario (anexo C). El modelo nunca se sube al repositorio: lo producen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preparar.py</w:t>
      </w:r>
      <w:r>
        <w:t xml:space="preserve"> y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entrenar.py</w:t>
      </w:r>
      <w:r>
        <w:t xml:space="preserve"> dentro del pipeline.</w:t>
      </w:r>
    </w:p>
    <w:p>
      <w:pPr>
        <w:pStyle w:val="Heading1"/>
        <w:spacing w:after="100" w:before="200"/>
      </w:pPr>
      <w:r>
        <w:t xml:space="preserve">8. Conceptos transversales</w:t>
      </w:r>
    </w:p>
    <w:p>
      <w:pPr>
        <w:pStyle w:val="Heading2"/>
        <w:spacing w:after="70" w:before="160"/>
      </w:pPr>
      <w:r>
        <w:t xml:space="preserve">8.1 Observabilidad</w:t>
      </w:r>
    </w:p>
    <w:p>
      <w:pPr>
        <w:spacing w:after="90" w:line="264"/>
        <w:jc w:val="both"/>
      </w:pPr>
      <w:r>
        <w:rPr>
          <w:b/>
          <w:bCs/>
        </w:rPr>
        <w:t xml:space="preserve">Implementado en EP2:</w:t>
      </w:r>
      <w:r>
        <w:t xml:space="preserve">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/metrics</w:t>
      </w:r>
      <w:r>
        <w:t xml:space="preserve"> en formato Prometheus en dominio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gc_dominio_latencia_segundos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gc_dominio_decisiones_total{decision,origen}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gc_dominio_fallas_ia_total</w:t>
      </w:r>
      <w:r>
        <w:t xml:space="preserve">) e IA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gc_ia_latencia_segundos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gc_ia_predicciones_total</w:t>
      </w:r>
      <w:r>
        <w:t xml:space="preserve">); log del gateway con réplica que atendió, estado y tiempo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upstream=… rt=…</w:t>
      </w:r>
      <w:r>
        <w:t xml:space="preserve">);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X-Request-Id</w:t>
      </w:r>
      <w:r>
        <w:t xml:space="preserve"> de punta a punta;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GET /resumen</w:t>
      </w:r>
      <w:r>
        <w:t xml:space="preserve"> con p50/p99 de la última hora. </w:t>
      </w:r>
      <w:r>
        <w:rPr>
          <w:b/>
          <w:bCs/>
        </w:rPr>
        <w:t xml:space="preserve">Producción (referencia L8):</w:t>
      </w:r>
      <w:r>
        <w:t xml:space="preserve"> Prometheus raspa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/metrics</w:t>
      </w:r>
      <w:r>
        <w:t xml:space="preserve"> cada 15 s, Grafana muestra los tableros y Alertmanager notifica.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1"/>
        <w:gridCol w:w="2667"/>
        <w:gridCol w:w="2031"/>
        <w:gridCol w:w="3177"/>
      </w:tblGrid>
      <w:tr>
        <w:trPr>
          <w:tblHeader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Umbral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Acción cuando se cruza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Latencia p99 de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/evaluar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gc_dominio_latencia_segundos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(histograma)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100 ms por 5 min (RNF1)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Alerta a plataforma; escalar dominio/IA; si &gt; 150 ms, el core ya aplica la reserva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Fallas de IA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gc_dominio_fallas_ia_total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decisiones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1% en 5 min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Alerta a ingeniería; revisar réplicas (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) y último despliegue; rollback &lt; 5 min (RNF9)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Tasa de bloqueo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gc_dominio_decisiones_total{decision="bloquear"}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±20% del rango histórico de la hora (RF12)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Alerta a riesgo; congelar cambios de umbral hasta revisión (evita repetir R7)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Decisiones por reserva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decisiones_total{origen="reserva"}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0,5% en 10 min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Alerta: el modelo no está decidiendo; revisar timeout y réplicas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Memoria vs límite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docker stats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cAdvisor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80% de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mem_limit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Subir límite o tamaño de tarea antes de un OOMKilled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Réplicas sanas de IA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healthcheck / ALB target health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&lt; 2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ECS reemplaza la tarea; alerta si dura &gt; 2 min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Falsos positivos semanales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Job sobre etiquetas confirmadas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15% de los bloqueos (RNF8)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Alerta a Felipe Navarrete y riesgo para recalibrar umbrales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Costo por millón de decisiones</w:t>
            </w:r>
          </w:p>
        </w:tc>
        <w:tc>
          <w:tcPr>
            <w:tcW w:type="dxa" w:w="266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AWS Cost Explorer</w:t>
            </w:r>
          </w:p>
        </w:tc>
        <w:tc>
          <w:tcPr>
            <w:tcW w:type="dxa" w:w="20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&gt; USD 25 (RNF12)</w:t>
            </w:r>
          </w:p>
        </w:tc>
        <w:tc>
          <w:tcPr>
            <w:tcW w:type="dxa" w:w="317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Revisar dimensionamiento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8.2 Confiabilidad y alta disponibilidad</w:t>
      </w:r>
    </w:p>
    <w:p>
      <w:pPr>
        <w:spacing w:after="90" w:line="264"/>
        <w:jc w:val="both"/>
      </w:pPr>
      <w:r>
        <w:t xml:space="preserve">RNF2 exige 99,9% mensual: como máximo </w:t>
      </w:r>
      <w:r>
        <w:rPr>
          <w:b/>
          <w:bCs/>
        </w:rPr>
        <w:t xml:space="preserve">43,8 minutos</w:t>
      </w:r>
      <w:r>
        <w:t xml:space="preserve"> sin servicio al mes. El RTO y el RPO salen de los mecanismos de cada falla, no de un supuesto: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1630"/>
        <w:gridCol w:w="3009"/>
        <w:gridCol w:w="1755"/>
        <w:gridCol w:w="1632"/>
      </w:tblGrid>
      <w:tr>
        <w:trPr>
          <w:tblHeader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Qué falla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Qué ve el usuario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Cómo se recupera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RTO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RPO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Una réplica de IA (hoy y objetivo)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Nada: 0 errores medidos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Gateway/Service Connect reintenta en la otra; Docker la reinicia (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unless-stopped</w:t>
            </w:r>
            <w:r>
              <w:rPr>
                <w:b w:val="false"/>
                <w:bCs w:val="false"/>
                <w:sz w:val="15"/>
                <w:szCs w:val="15"/>
              </w:rPr>
              <w:t xml:space="preserve">), ECS la reemplaza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s para el usuario; ≈ 60 s para volver a 2 réplicas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(la IA no guarda estado)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Toda la IA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Decisión por reserva con aviso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Política de reserva de riesgo (ADR-3)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s (degradado)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Una zona de disponibilidad (objetivo)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Nada en la ruta de decisión; &lt; 2 min de reservas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Tareas en la otra AZ; RDS Multi-AZ conmuta a la standby síncrona; ElastiCache promueve la réplica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1–2 min (failover RDS documentado por AWS: 60–120 s)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en RDS (síncrona); segundos en contadores de Redis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Base de datos (hoy)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Error del dominio; el core aplica reserva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 solo contenedor con volumen; se reinicia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≈ 10 s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0 (volumen persiste)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Región completa (objetivo)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Core en reserva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Restaurar snapshot copiado a us-west-2 + imágenes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4 h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24 h (copia diaria)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Modelo nuevo peor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Más bloqueos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Rollback automático por alarma de tasa de bloqueo</w:t>
            </w:r>
          </w:p>
        </w:tc>
        <w:tc>
          <w:tcPr>
            <w:tcW w:type="dxa" w:w="175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&lt; 5 min (RNF9)</w:t>
            </w:r>
          </w:p>
        </w:tc>
        <w:tc>
          <w:tcPr>
            <w:tcW w:type="dxa" w:w="163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rPr>
          <w:b/>
          <w:bCs/>
        </w:rPr>
        <w:t xml:space="preserve">Respaldo:</w:t>
      </w:r>
      <w:r>
        <w:t xml:space="preserve"> RDS con backups automáticos de 7 días y punto en el tiempo (PITR, 5 min); la auditoría queda en S3 Object Lock en modo compliance por 7 años y replicada a otra región.</w:t>
      </w:r>
    </w:p>
    <w:p>
      <w:pPr>
        <w:pStyle w:val="Heading2"/>
        <w:spacing w:after="70" w:before="160"/>
      </w:pPr>
      <w:r>
        <w:t xml:space="preserve">8.3 Seguridad y datos personales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7"/>
        <w:gridCol w:w="4358"/>
        <w:gridCol w:w="3831"/>
      </w:tblGrid>
      <w:tr>
        <w:trPr>
          <w:tblHeader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Aspecto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Implementado en esta versión (EP2)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Pendiente para producción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Autenticación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Ninguna para el front (demo local). Cambio de umbrales exige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X-Api-Key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del rol riesgo; si no se configura, el endpoint queda cerrado (403)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Cognito/OIDC para analistas; mTLS o IAM SigV4 entre el core y el ALB por PrivateLink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Autorización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Umbrales: solo INSERT con autor y motivo (RNF10, RO5); la IA no tiene acceso a la base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Roles IAM por servicio; usuario de base de solo lectura para auditoría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Cifrado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Tráfico solo en la red interna de Docker; nada sale del equipo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TLS 1.2+ en ALB (ACM); RDS, ElastiCache y S3 cifrados con KMS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Secretos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Ninguno en el repositorio ni en las imágenes;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.env.example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 valores locales por defecto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AWS Secrets Manager inyectado como variable de la tarea ECS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Datos de tarjeta (RT4, RNF5)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dominio rechaza con 422 cualquier PAN (13–19 dígitos); solo se acepta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****NNNN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Tokenización en la cuenta PCI; nunca cruza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Superficie expuesta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Solo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:8080</w:t>
            </w:r>
            <w:r>
              <w:rPr>
                <w:b w:val="false"/>
                <w:bCs w:val="false"/>
                <w:sz w:val="16"/>
                <w:szCs w:val="16"/>
              </w:rPr>
              <w:t xml:space="preserve">; tope global de 400 req/s (429); cabeceras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nosniff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X-Frame-Options</w:t>
            </w:r>
            <w:r>
              <w:rPr>
                <w:b w:val="false"/>
                <w:bCs w:val="false"/>
                <w:sz w:val="16"/>
                <w:szCs w:val="16"/>
              </w:rPr>
              <w:t xml:space="preserve">; contenedores sin root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AWS WAF, Shield Standard, escaneo de imágenes en ECR</w:t>
            </w:r>
          </w:p>
        </w:tc>
      </w:tr>
      <w:tr>
        <w:trPr>
          <w:cantSplit/>
        </w:trPr>
        <w:tc>
          <w:tcPr>
            <w:tcW w:type="dxa" w:w="1717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Datos personales (RN5)</w:t>
            </w:r>
          </w:p>
        </w:tc>
        <w:tc>
          <w:tcPr>
            <w:tcW w:type="dxa" w:w="43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modelo usa variables derivadas (antigüedad, KYC, dominio desechable), no nombre ni correo</w:t>
            </w:r>
          </w:p>
        </w:tc>
        <w:tc>
          <w:tcPr>
            <w:tcW w:type="dxa" w:w="383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Minimización y retención según Ley 21.719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t xml:space="preserve">8.4 Datos: tratamiento, variables y modelo de datos</w:t>
      </w:r>
    </w:p>
    <w:p>
      <w:pPr>
        <w:spacing w:after="90" w:line="264"/>
        <w:jc w:val="both"/>
      </w:pPr>
      <w:r>
        <w:t xml:space="preserve">El tratamiento está en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datos/preparar.py</w:t>
      </w:r>
      <w:r>
        <w:t xml:space="preserve">: es determinista, se versiona con el repositorio y lo ejecuta el pipeline (job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datos</w:t>
      </w:r>
      <w:r>
        <w:t xml:space="preserve">). Genera las tablas que usa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carga</w:t>
      </w:r>
      <w:r>
        <w:t xml:space="preserve"> y el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dataset_modelo.csv</w:t>
      </w:r>
      <w:r>
        <w:t xml:space="preserve"> que usa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entrenar.py</w:t>
      </w:r>
      <w:r>
        <w:t xml:space="preserve">, y deja el perfilado completo en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perfilado.json</w:t>
      </w:r>
      <w:r>
        <w:t xml:space="preserve">.</w:t>
      </w:r>
    </w:p>
    <w:p>
      <w:pPr>
        <w:pStyle w:val="Heading3"/>
        <w:spacing w:after="50" w:before="110"/>
      </w:pPr>
      <w:r>
        <w:t xml:space="preserve">Perfilado antes y después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003"/>
        <w:gridCol w:w="1128"/>
        <w:gridCol w:w="1630"/>
        <w:gridCol w:w="1379"/>
        <w:gridCol w:w="3262"/>
      </w:tblGrid>
      <w:tr>
        <w:trPr>
          <w:tblHeader/>
        </w:trPr>
        <w:tc>
          <w:tcPr>
            <w:tcW w:type="dxa" w:w="1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Archivo</w:t>
            </w:r>
          </w:p>
        </w:tc>
        <w:tc>
          <w:tcPr>
            <w:tcW w:type="dxa" w:w="10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Filas antes</w:t>
            </w:r>
          </w:p>
        </w:tc>
        <w:tc>
          <w:tcPr>
            <w:tcW w:type="dxa" w:w="11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Filas después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Columnas antes → después</w:t>
            </w:r>
          </w:p>
        </w:tc>
        <w:tc>
          <w:tcPr>
            <w:tcW w:type="dxa" w:w="13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Duplicados exactos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Vacíos/nulos antes → después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usuarios</w:t>
            </w:r>
          </w:p>
        </w:tc>
        <w:tc>
          <w:tcPr>
            <w:tcW w:type="dxa" w:w="10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5.038</w:t>
            </w:r>
          </w:p>
        </w:tc>
        <w:tc>
          <w:tcPr>
            <w:tcW w:type="dxa" w:w="11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5.000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10 → 11</w:t>
            </w:r>
          </w:p>
        </w:tc>
        <w:tc>
          <w:tcPr>
            <w:tcW w:type="dxa" w:w="13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2.100 → 2.256 (los «-1» y vacíos ahora son NULL explícito)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dispositivos</w:t>
            </w:r>
          </w:p>
        </w:tc>
        <w:tc>
          <w:tcPr>
            <w:tcW w:type="dxa" w:w="10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7.000</w:t>
            </w:r>
          </w:p>
        </w:tc>
        <w:tc>
          <w:tcPr>
            <w:tcW w:type="dxa" w:w="11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7.000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7 → 8</w:t>
            </w:r>
          </w:p>
        </w:tc>
        <w:tc>
          <w:tcPr>
            <w:tcW w:type="dxa" w:w="13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5.654 → 5.657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transacciones</w:t>
            </w:r>
          </w:p>
        </w:tc>
        <w:tc>
          <w:tcPr>
            <w:tcW w:type="dxa" w:w="10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28.421</w:t>
            </w:r>
          </w:p>
        </w:tc>
        <w:tc>
          <w:tcPr>
            <w:tcW w:type="dxa" w:w="11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27.721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19 → 31</w:t>
            </w:r>
          </w:p>
        </w:tc>
        <w:tc>
          <w:tcPr>
            <w:tcW w:type="dxa" w:w="13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97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94.091 → 66.991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lista_negra</w:t>
            </w:r>
          </w:p>
        </w:tc>
        <w:tc>
          <w:tcPr>
            <w:tcW w:type="dxa" w:w="1003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350</w:t>
            </w:r>
          </w:p>
        </w:tc>
        <w:tc>
          <w:tcPr>
            <w:tcW w:type="dxa" w:w="112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349</w:t>
            </w:r>
          </w:p>
        </w:tc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7 → 8</w:t>
            </w:r>
          </w:p>
        </w:tc>
        <w:tc>
          <w:tcPr>
            <w:tcW w:type="dxa" w:w="137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 (1 clave repetida)</w:t>
            </w:r>
          </w:p>
        </w:tc>
        <w:tc>
          <w:tcPr>
            <w:tcW w:type="dxa" w:w="32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236 → 94</w:t>
            </w:r>
          </w:p>
        </w:tc>
      </w:tr>
    </w:tbl>
    <w:p>
      <w:pPr>
        <w:spacing w:after="80"/>
      </w:pPr>
    </w:p>
    <w:p>
      <w:pPr>
        <w:spacing w:after="90" w:line="264"/>
        <w:jc w:val="both"/>
      </w:pPr>
      <w:r>
        <w:rPr>
          <w:b/>
          <w:bCs/>
        </w:rPr>
        <w:t xml:space="preserve">Transacciones descartadas: 700</w:t>
      </w:r>
      <w:r>
        <w:t xml:space="preserve"> = 97 duplicados del sistema + 250 montos negativos + 352 montos cero + 1 hora inexistente por cambio de horario. Todas las demás filas se corrigen o se marcan.</w:t>
      </w:r>
    </w:p>
    <w:p>
      <w:pPr>
        <w:pStyle w:val="Heading3"/>
        <w:spacing w:after="50" w:before="110"/>
      </w:pPr>
      <w:r>
        <w:t xml:space="preserve">Reglas de limpieza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9"/>
        <w:gridCol w:w="1114"/>
        <w:gridCol w:w="1362"/>
        <w:gridCol w:w="4211"/>
      </w:tblGrid>
      <w:tr>
        <w:trPr>
          <w:tblHeader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Problema encontrado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Filas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Fila idéntica con el mismo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transaccion_id</w:t>
            </w:r>
            <w:r>
              <w:rPr>
                <w:sz w:val="15"/>
                <w:szCs w:val="15"/>
              </w:rPr>
              <w:t xml:space="preserve"> (duplicado del sistema)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97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Descartar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 una sola transacción; contarla dos veces infla la velocidad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Mismo usuario, comercio y monto con ID nuevo en &lt; 120 s (reintento)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222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Marcar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es_reintento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Es un evento real que vio el core; cuenta para RF10. No se borra igual que un duplicado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Monto con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$</w:t>
            </w:r>
            <w:r>
              <w:rPr>
                <w:sz w:val="15"/>
                <w:szCs w:val="15"/>
              </w:rPr>
              <w:t xml:space="preserve">, punto de miles, coma decimal; moneda vacía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28.324 / 1.162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Corregir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1.662</w:t>
            </w:r>
            <w:r>
              <w:rPr>
                <w:b w:val="false"/>
                <w:bCs w:val="false"/>
                <w:sz w:val="15"/>
                <w:szCs w:val="15"/>
              </w:rPr>
              <w:t xml:space="preserve"> CLP = 1662;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45,54</w:t>
            </w:r>
            <w:r>
              <w:rPr>
                <w:b w:val="false"/>
                <w:bCs w:val="false"/>
                <w:sz w:val="15"/>
                <w:szCs w:val="15"/>
              </w:rPr>
              <w:t xml:space="preserve"> = 45.54; sin moneda: decimales o &lt; 1.000 → USD (no hay CLP enteros entre 1 y 999), si no CLP; todo también en USD (950 CLP/USD)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Monto negativo / cero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250 / 352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Descartar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Reversa o devolución / no hay compra que evaluar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Timestamps en 4 formatos (Z, −04:00, sin zona)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16.460 sin zona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Corregir y marcar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Todo a UTC; sin zona = hora de Chile (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zona_inferida</w:t>
            </w:r>
            <w:r>
              <w:rPr>
                <w:b w:val="false"/>
                <w:bCs w:val="false"/>
                <w:sz w:val="15"/>
                <w:szCs w:val="15"/>
              </w:rPr>
              <w:t xml:space="preserve">). Evidencia: los reintentos escritos en ambos formatos solo quedan a 40–80 s con esa regla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Coordenadas (0,0)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1.242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Marcar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Valor por defecto del SDK, no una ubicación: NULL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IP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-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n/a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0.0.0.0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999.1.1.1</w:t>
            </w:r>
            <w:r>
              <w:rPr>
                <w:sz w:val="15"/>
                <w:szCs w:val="15"/>
              </w:rPr>
              <w:t xml:space="preserve">, vacía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956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Marcar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ip_valida=0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Una IP ilegible es una señal (44% de fraude vs 9%)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es_fraude</w:t>
            </w:r>
            <w:r>
              <w:rPr>
                <w:sz w:val="15"/>
                <w:szCs w:val="15"/>
              </w:rPr>
              <w:t xml:space="preserve"> vacío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26.489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Marcar NULL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Vacío = nadie revisó; no es «legítima». No entra al entrenamiento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País, segmento, canal, tipo de lista con sinónimos (Chile, chile , CL; device/merchant)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1.243 / 600 / …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Corregir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ISO-3166 alfa-2 y categorías canónicas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nivel_kyc = -1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edad_cuenta_dias</w:t>
            </w:r>
            <w:r>
              <w:rPr>
                <w:sz w:val="15"/>
                <w:szCs w:val="15"/>
              </w:rPr>
              <w:t xml:space="preserve"> negativa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58 / 116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Marcar NULL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Fuera de rango; no se inventa un valor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Usuario de la transacción no existe en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usuarios.csv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598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Conservar y marcar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El pago ocurrió;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usuario_conocido = 0</w:t>
            </w:r>
          </w:p>
        </w:tc>
      </w:tr>
      <w:tr>
        <w:trPr>
          <w:cantSplit/>
        </w:trPr>
        <w:tc>
          <w:tcPr>
            <w:tcW w:type="dxa" w:w="321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5"/>
                <w:szCs w:val="15"/>
              </w:rPr>
              <w:t xml:space="preserve">Lista negra: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vigente</w:t>
            </w:r>
            <w:r>
              <w:rPr>
                <w:sz w:val="15"/>
                <w:szCs w:val="15"/>
              </w:rPr>
              <w:t xml:space="preserve"> vacío / valor con espacios / clave repetida</w:t>
            </w:r>
          </w:p>
        </w:tc>
        <w:tc>
          <w:tcPr>
            <w:tcW w:type="dxa" w:w="111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74 / 30 / 1</w:t>
            </w:r>
          </w:p>
        </w:tc>
        <w:tc>
          <w:tcPr>
            <w:tcW w:type="dxa" w:w="1362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Corregir / corregir / descartar</w:t>
            </w:r>
          </w:p>
        </w:tc>
        <w:tc>
          <w:tcPr>
            <w:tcW w:type="dxa" w:w="421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5"/>
                <w:szCs w:val="15"/>
              </w:rPr>
              <w:t xml:space="preserve">Vacío = nunca desactivada → vigente; sin </w:t>
            </w:r>
            <w:r>
              <w:rPr>
                <w:rFonts w:ascii="Consolas" w:cs="Consolas" w:eastAsia="Consolas" w:hAnsi="Consolas"/>
                <w:color w:val="8A2B06"/>
                <w:sz w:val="14"/>
                <w:szCs w:val="14"/>
              </w:rPr>
              <w:t xml:space="preserve">strip</w:t>
            </w:r>
            <w:r>
              <w:rPr>
                <w:b w:val="false"/>
                <w:bCs w:val="false"/>
                <w:sz w:val="15"/>
                <w:szCs w:val="15"/>
              </w:rPr>
              <w:t xml:space="preserve"> la regla dura no encuentra el valor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Integración, variables y separación</w:t>
      </w:r>
    </w:p>
    <w:p>
      <w:pPr>
        <w:spacing w:after="90" w:line="264"/>
        <w:jc w:val="both"/>
      </w:pPr>
      <w:r>
        <w:t xml:space="preserve">Transacciones ⟕ usuarios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usuario_id</w:t>
      </w:r>
      <w:r>
        <w:t xml:space="preserve">: 598 sin pareja, se conservan), ⟕ dispositivos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dispositivo_id</w:t>
      </w:r>
      <w:r>
        <w:t xml:space="preserve">: 2.465 sin dispositivo, típico de POS/API; 0 sin pareja; 205 dispositivos sin transacciones se cargan igual) y contra la lista negra vigente (1.915 coincidencias). </w:t>
      </w:r>
      <w:r>
        <w:rPr>
          <w:b/>
          <w:bCs/>
        </w:rPr>
        <w:t xml:space="preserve">Variables del modelo (44)</w:t>
      </w:r>
      <w:r>
        <w:t xml:space="preserve">: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monto_usd</w:t>
      </w:r>
      <w:r>
        <w:t xml:space="preserve"> (log), hora local y franja 00–06, país extranjero y distinto al del usuario, intentos previos 1 h, velocidad (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tx_usuario_10min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tx_usuario_24h</w:t>
      </w:r>
      <w:r>
        <w:t xml:space="preserve">,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tx_dispositivo_1h</w:t>
      </w:r>
      <w:r>
        <w:t xml:space="preserve">, calculadas con ventana deslizante sobre todo el historial limpio), IP válida, lista negra, KYC, verificación, antigüedad, correo desechable, usuarios por dispositivo, emulador, sistema operativo inconsistente y one-hot de canal, MCC y tipo de dispositivo. </w:t>
      </w:r>
      <w:r>
        <w:rPr>
          <w:b/>
          <w:bCs/>
        </w:rPr>
        <w:t xml:space="preserve">Excluidas por fuga (R2):</w:t>
      </w:r>
      <w:r>
        <w:t xml:space="preserve">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revisado_por_analista</w:t>
      </w:r>
      <w:r>
        <w:t xml:space="preserve"> y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motivo_bloqueo</w:t>
      </w:r>
      <w:r>
        <w:t xml:space="preserve"> (se llenan después de la revisión) y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resultado_autorizacion</w:t>
      </w:r>
      <w:r>
        <w:t xml:space="preserve"> (es la decisión del motor actual).</w:t>
      </w:r>
    </w:p>
    <w:p>
      <w:pPr>
        <w:spacing w:after="90" w:line="264"/>
        <w:jc w:val="both"/>
      </w:pPr>
      <w:r>
        <w:rPr>
          <w:b/>
          <w:bCs/>
        </w:rPr>
        <w:t xml:space="preserve">Entrenamiento.</w:t>
      </w:r>
      <w:r>
        <w:t xml:space="preserve"> Solo las 1.232 filas con etiqueta confirmada (138 fraudes). Separación </w:t>
      </w:r>
      <w:r>
        <w:rPr>
          <w:b/>
          <w:bCs/>
        </w:rPr>
        <w:t xml:space="preserve">temporal y fija</w:t>
      </w:r>
      <w:r>
        <w:t xml:space="preserve"> antes de entrenar: el 75% más antiguo entrena (924 filas, 93 fraudes) y el 25% más reciente prueba (308 filas, 45 fraudes, corte 23-11-2025). Resultado en prueba: </w:t>
      </w:r>
      <w:r>
        <w:rPr>
          <w:b/>
          <w:bCs/>
        </w:rPr>
        <w:t xml:space="preserve">PR-AUC 0,972</w:t>
      </w:r>
      <w:r>
        <w:t xml:space="preserve"> (azar = 0,146), ROC-AUC 0,995; con umbral 0,85, recall 95,6% y falsos positivos sobre bloqueos 6,5%. Variables de mayor peso: usuarios distintos por dispositivo, país distinto al del usuario, monto e intentos previos. La compuerta del pipeline exige PR-AUC ≥ 0,70. </w:t>
      </w:r>
      <w:r>
        <w:rPr>
          <w:b/>
          <w:bCs/>
        </w:rPr>
        <w:t xml:space="preserve">Advertencia (R3):</w:t>
      </w:r>
      <w:r>
        <w:t xml:space="preserve"> la muestra etiquetada tiene 11% de fraude y la producción 0,012%; los umbrales v1 (0,50 revisar / 0,85 bloquear) son provisionales y riesgo los recalibra en las 8 semanas de modo sombra.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581650" cy="3295650"/>
            <wp:effectExtent t="0" r="0" b="0" l="0"/>
            <wp:docPr id="1" name="09-modelo-datos.png" descr="Modelo de datos de la base: tablas, claves y relaciones, incluida la de predicciones." title="Modelo de datos de la base: tablas, claves y relaciones, incluida la de predic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6777"/>
          <w:sz w:val="16"/>
          <w:szCs w:val="16"/>
        </w:rPr>
        <w:t xml:space="preserve">Figura 9. Modelo de datos de la base: tablas, claves y relaciones, incluida la de predicciones.</w:t>
      </w:r>
    </w:p>
    <w:p>
      <w:pPr>
        <w:spacing w:after="90" w:line="264"/>
        <w:jc w:val="both"/>
      </w:pPr>
      <w:r>
        <w:rPr>
          <w:rFonts w:ascii="Consolas" w:cs="Consolas" w:eastAsia="Consolas" w:hAnsi="Consolas"/>
          <w:color w:val="8A2B06"/>
          <w:sz w:val="18"/>
          <w:szCs w:val="18"/>
        </w:rPr>
        <w:t xml:space="preserve">umbrales</w:t>
      </w:r>
      <w:r>
        <w:t xml:space="preserve"> es de solo inserción: la versión vigente es la mayor y cada predicción guarda la que usó (RF7).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transacciones.usuario_id</w:t>
      </w:r>
      <w:r>
        <w:t xml:space="preserve"> es una FK lógica porque 598 usuarios no vienen en la muestra.</w:t>
      </w:r>
    </w:p>
    <w:p>
      <w:pPr>
        <w:pStyle w:val="Heading1"/>
        <w:spacing w:after="100" w:before="200"/>
      </w:pPr>
      <w:r>
        <w:t xml:space="preserve">9. Decisiones de arquitectura</w:t>
      </w:r>
    </w:p>
    <w:p>
      <w:pPr>
        <w:spacing w:after="90" w:line="264"/>
        <w:jc w:val="both"/>
      </w:pPr>
      <w:r>
        <w:t xml:space="preserve">ADR-1 a ADR-3 vienen de EP1 (resumidas). ADR-4 a ADR-7 son nuevas: una por patrón aplicado y la del orquestador.</w:t>
      </w:r>
    </w:p>
    <w:p>
      <w:pPr>
        <w:pStyle w:val="Heading3"/>
        <w:spacing w:after="50" w:before="110"/>
      </w:pPr>
      <w:r>
        <w:t xml:space="preserve">ADR-1. Arquitectura híbrida: reglas duras + modelo explicable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Bajar falsos positivos sin más fraude, con reglas normativas que siempre mandan (RF4) y decisiones explicables (RT8) en 100 ms.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Modelo único de extremo a extremo; (b) mantener el motor y usar el modelo fuera de línea;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reglas duras primero y XGBoost + TreeSHAP después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(c). En EP2: lista negra en el dominio, XGBoost de 200 árboles de profundidad 3 con aportes TreeSHAP nativos.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Cumplimiento garantizado y explicación por diseño; dos lógicas de decisión que mantener y un techo de precisión menor que un ensamble sin restricciones.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ADR-2. Llamada síncrona en la ruta de decisión; asíncrono para lo demás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core espera 150 ms (RT3); auditoría y features no deben competir por ese presupuesto.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Cola entre dominio e IA: agrega latencia de encolado; (b) síncrono para todo;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síncrono en la decisión, asíncrono para auditoría y reentreno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(c). En EP2 la escritura a PostgreSQL es síncrona (≈ 2 ms medidos); en producción el envío a S3 es un lote por minuto.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Latencia baja y predecible; dos mecanismos que instrumentar para no perder un evento de auditoría.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ADR-3. Política de reserva configurable por riesgo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Qué se decide si la IA no responde a tiempo (RNF3), sin dejarlo fijo en el código.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Bloquear todo: repite el incidente de enero (R7); (b) aprobar todo: fraude sin filtro;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caer a reglas, conmutable entre las tres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(c). Columna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politica_reserva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la versión de umbrales vigente; por defecto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reglas</w:t>
            </w:r>
            <w:r>
              <w:rPr>
                <w:b w:val="false"/>
                <w:bCs w:val="false"/>
                <w:sz w:val="16"/>
                <w:szCs w:val="16"/>
              </w:rPr>
              <w:t xml:space="preserve">. Implementado y probado (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test_ia_caida_aplica_politica_de_reserva</w:t>
            </w:r>
            <w:r>
              <w:rPr>
                <w:b w:val="false"/>
                <w:bCs w:val="false"/>
                <w:sz w:val="16"/>
                <w:szCs w:val="16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Riesgo decide cuánto tolerar durante una caída (DA5); una rama más que probar y auditar.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ADR-4. API Gateway con nginx como única puerta de entrada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Un solo punto de entrada que enrute al front y a cada microservicio, balancee y no exponga los servicios internos.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Publicar el puerto de cada servicio: más superficie y sin balanceo; (b) Kong o Traefik: más funciones, pero más memoria y configuración;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nginx 1.28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(c): enruta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/api/dominio/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/api/ia/</w:t>
            </w:r>
            <w:r>
              <w:rPr>
                <w:b w:val="false"/>
                <w:bCs w:val="false"/>
                <w:sz w:val="16"/>
                <w:szCs w:val="16"/>
              </w:rPr>
              <w:t xml:space="preserve">, re-resuelve réplicas por DNS (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resolve</w:t>
            </w:r>
            <w:r>
              <w:rPr>
                <w:b w:val="false"/>
                <w:bCs w:val="false"/>
                <w:sz w:val="16"/>
                <w:szCs w:val="16"/>
              </w:rPr>
              <w:t xml:space="preserve">), reintenta, limita tasa y devuelve errores JSON. Requerimiento: RT3 y seguridad 8.3.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&lt; 10 MB y &lt; 0,5 ms por petición; health check solo pasivo en la versión libre (lo complementa el healthcheck de Docker). En AWS lo reemplaza el ALB.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ADR-5. Réplicas de IA con balanceo, reintento y health checks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la caída de una instancia del modelo no se note (RNF2 99,9%, RNF3).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Una instancia con reinicio automático: ≈ 10 s de errores por caída; (b) replicar el dominio: no protege el modelo, que es lo que cambia en cada despliegue;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2 réplicas de IA balanceadas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(c):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replicas: 2</w:t>
            </w:r>
            <w:r>
              <w:rPr>
                <w:b w:val="false"/>
                <w:bCs w:val="false"/>
                <w:sz w:val="16"/>
                <w:szCs w:val="16"/>
              </w:rPr>
              <w:t xml:space="preserve">, round-robin,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max_fails=1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proxy_next_upstream</w:t>
            </w:r>
            <w:r>
              <w:rPr>
                <w:b w:val="false"/>
                <w:bCs w:val="false"/>
                <w:sz w:val="16"/>
                <w:szCs w:val="16"/>
              </w:rPr>
              <w:t xml:space="preserve"> (seguro porque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/predict</w:t>
            </w:r>
            <w:r>
              <w:rPr>
                <w:b w:val="false"/>
                <w:bCs w:val="false"/>
                <w:sz w:val="16"/>
                <w:szCs w:val="16"/>
              </w:rPr>
              <w:t xml:space="preserve"> no escribe).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Medido: 0 errores al detener una réplica bajo carga. Duplica la memoria de la IA (2 × 176 MB). El dominio queda como punto único local; en el objetivo corre con 2 tareas.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ADR-6. Orquestador objetivo: Amazon ECS sobre Fargate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Dónde correr las réplicas en producción con 3 desarrolladores (RO1) y USD 6.000/mes (RT2).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EKS (Kubernetes): USD 73/mes solo el plano de control y operar nodos y versiones; (b) EC2 con Docker: parchar servidores;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ECS Fargate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(c): servicios con 2+ tareas en 2 AZ, ALB, Service Connect y autoescalado;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compose.yaml</w:t>
            </w:r>
            <w:r>
              <w:rPr>
                <w:b w:val="false"/>
                <w:bCs w:val="false"/>
                <w:sz w:val="16"/>
                <w:szCs w:val="16"/>
              </w:rPr>
              <w:t xml:space="preserve"> se traduce casi uno a uno a definiciones de tarea.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Sin servidores que administrar; menos portabilidad que Kubernetes y sin el ecosistema de Helm (aceptado por el tamaño del equipo).</w:t>
            </w:r>
          </w:p>
        </w:tc>
      </w:tr>
    </w:tbl>
    <w:p>
      <w:pPr>
        <w:spacing w:after="80"/>
      </w:pPr>
    </w:p>
    <w:p>
      <w:pPr>
        <w:pStyle w:val="Heading3"/>
        <w:spacing w:after="50" w:before="110"/>
      </w:pPr>
      <w:r>
        <w:t xml:space="preserve">ADR-7. Microservicios separados: el dominio orquesta, la IA solo infiere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modelo se reentrena y publica con frecuencia (RF11, RNF9); las reglas y el registro no.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Alternativas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(a) Monolito con el modelo dentro: un cambio de modelo redespliega todo; (b) la IA lee la base: acopla el modelo al esquema; </w:t>
            </w:r>
            <w:r>
              <w:rPr>
                <w:b w:val="false"/>
                <w:bCs w:val="false"/>
                <w:sz w:val="16"/>
                <w:szCs w:val="16"/>
              </w:rPr>
              <w:t xml:space="preserve">(c) dos servicios; la IA recibe todo en la petición</w:t>
            </w:r>
            <w:r>
              <w:rPr>
                <w:b w:val="false"/>
                <w:bCs w:val="false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Decisión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(c). Contrato JSON de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/predict</w:t>
            </w:r>
            <w:r>
              <w:rPr>
                <w:b w:val="false"/>
                <w:bCs w:val="false"/>
                <w:sz w:val="16"/>
                <w:szCs w:val="16"/>
              </w:rPr>
              <w:t xml:space="preserve"> y el mismo vectorizador en entrenamiento y servicio.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EEF4FD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7925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IA escala y se revierte sola, sin estado; una llamada de red más (≈ 1 ms por el gateway).</w:t>
            </w:r>
          </w:p>
        </w:tc>
      </w:tr>
    </w:tbl>
    <w:p>
      <w:pPr>
        <w:spacing w:after="80"/>
      </w:pPr>
    </w:p>
    <w:p>
      <w:pPr>
        <w:pStyle w:val="Heading1"/>
        <w:spacing w:after="100" w:before="200"/>
      </w:pPr>
      <w:r>
        <w:t xml:space="preserve">10. Requisitos de calidad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3260"/>
        <w:gridCol w:w="2758"/>
        <w:gridCol w:w="2008"/>
      </w:tblGrid>
      <w:tr>
        <w:trPr>
          <w:tblHeader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Escenario (estímulo → respuesta medible)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Cómo se verifica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 EP2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Eficiencia (RNF1, RNF4)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 5.500 tx/min, el sistema responde con p99 &lt; 100 ms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generar_carga.py</w:t>
            </w:r>
            <w:r>
              <w:rPr>
                <w:b w:val="false"/>
                <w:bCs w:val="false"/>
                <w:sz w:val="16"/>
                <w:szCs w:val="16"/>
              </w:rPr>
              <w:t xml:space="preserve"> por el gateway, p99 real bajo carga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133 req/s (8.003/min): p99 80 ms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Fiabilidad (RNF2, RNF3)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 detiene una réplica de IA bajo carga → el usuario no ve errores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docker stop</w:t>
            </w:r>
            <w:r>
              <w:rPr>
                <w:b w:val="false"/>
                <w:bCs w:val="false"/>
                <w:sz w:val="16"/>
                <w:szCs w:val="16"/>
              </w:rPr>
              <w:t xml:space="preserve"> de una réplica con carga en curso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0 errores en 1.500 peticiones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Tolerancia a fallos (RNF3)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La IA entera cae → decisión por política de reserva en &lt; 300 ms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Prueba automática y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docker compose stop ia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Decisión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origen=reserva</w:t>
            </w:r>
            <w:r>
              <w:rPr>
                <w:b w:val="false"/>
                <w:bCs w:val="false"/>
                <w:sz w:val="16"/>
                <w:szCs w:val="16"/>
              </w:rPr>
              <w:t xml:space="preserve"> en 5 ms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Analizabilidad (RNF6)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Ante un bloqueo, razones en &lt; 5 s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Front muestra razones ordenadas al responder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&lt; 0,1 s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Trazabilidad (RF7, RNF7)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Auditor pide una transacción → versión de modelo, datos y umbral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GET /api/dominio/predicciones/{id}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Inmediato (7 años: S3 en producción)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Madurez (RF11)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Un modelo con PR-AUC &lt; 0,70 no se publica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Compuerta del job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ia-modelo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Confidencialidad (RNF5)</w:t>
            </w:r>
          </w:p>
        </w:tc>
        <w:tc>
          <w:tcPr>
            <w:tcW w:type="dxa" w:w="326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Llega un PAN → se rechaza y no se registra</w:t>
            </w:r>
          </w:p>
        </w:tc>
        <w:tc>
          <w:tcPr>
            <w:tcW w:type="dxa" w:w="275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test_pan_completo_es_rechazado</w:t>
            </w:r>
          </w:p>
        </w:tc>
        <w:tc>
          <w:tcPr>
            <w:tcW w:type="dxa" w:w="2008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422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00" w:before="200"/>
      </w:pPr>
      <w:r>
        <w:t xml:space="preserve">Anexo A. Referencias</w:t>
      </w:r>
    </w:p>
    <w:p>
      <w:pPr>
        <w:spacing w:after="90" w:line="264"/>
        <w:jc w:val="left"/>
      </w:pPr>
      <w:r>
        <w:t xml:space="preserve">Amazon Web Services. (2026). </w:t>
      </w:r>
      <w:r>
        <w:rPr>
          <w:i/>
          <w:iCs/>
        </w:rPr>
        <w:t xml:space="preserve">AWS Fargate pricing</w:t>
      </w:r>
      <w:r>
        <w:t xml:space="preserve">. https://aws.amazon.com/fargate/pricing/</w:t>
      </w:r>
    </w:p>
    <w:p>
      <w:pPr>
        <w:spacing w:after="90" w:line="264"/>
        <w:jc w:val="left"/>
      </w:pPr>
      <w:r>
        <w:t xml:space="preserve">Amazon Web Services. (2026). </w:t>
      </w:r>
      <w:r>
        <w:rPr>
          <w:i/>
          <w:iCs/>
        </w:rPr>
        <w:t xml:space="preserve">Amazon RDS for PostgreSQL pricing</w:t>
      </w:r>
      <w:r>
        <w:t xml:space="preserve">. https://aws.amazon.com/rds/postgresql/pricing/</w:t>
      </w:r>
    </w:p>
    <w:p>
      <w:pPr>
        <w:spacing w:after="90" w:line="264"/>
        <w:jc w:val="left"/>
      </w:pPr>
      <w:r>
        <w:t xml:space="preserve">Brown, S. (2018). </w:t>
      </w:r>
      <w:r>
        <w:rPr>
          <w:i/>
          <w:iCs/>
        </w:rPr>
        <w:t xml:space="preserve">The C4 model for visualising software architecture</w:t>
      </w:r>
      <w:r>
        <w:t xml:space="preserve">. https://c4model.com</w:t>
      </w:r>
    </w:p>
    <w:p>
      <w:pPr>
        <w:spacing w:after="90" w:line="264"/>
        <w:jc w:val="left"/>
      </w:pPr>
      <w:r>
        <w:t xml:space="preserve">Chen, T., &amp; Guestrin, C. (2016). XGBoost: A scalable tree boosting system. En </w:t>
      </w:r>
      <w:r>
        <w:rPr>
          <w:i/>
          <w:iCs/>
        </w:rPr>
        <w:t xml:space="preserve">Proceedings of the 22nd ACM SIGKDD</w:t>
      </w:r>
      <w:r>
        <w:t xml:space="preserve"> (pp. 785–794). https://doi.org/10.1145/2939672.2939785</w:t>
      </w:r>
    </w:p>
    <w:p>
      <w:pPr>
        <w:spacing w:after="90" w:line="264"/>
        <w:jc w:val="left"/>
      </w:pPr>
      <w:r>
        <w:t xml:space="preserve">Lundberg, S. M., &amp; Lee, S.-I. (2017). A unified approach to interpreting model predictions. </w:t>
      </w:r>
      <w:r>
        <w:rPr>
          <w:i/>
          <w:iCs/>
        </w:rPr>
        <w:t xml:space="preserve">Advances in Neural Information Processing Systems, 30</w:t>
      </w:r>
      <w:r>
        <w:t xml:space="preserve">, 4765–4774.</w:t>
      </w:r>
    </w:p>
    <w:p>
      <w:pPr>
        <w:spacing w:after="90" w:line="264"/>
        <w:jc w:val="left"/>
      </w:pPr>
      <w:r>
        <w:t xml:space="preserve">Starke, G., &amp; Hruschka, P. (2023). </w:t>
      </w:r>
      <w:r>
        <w:rPr>
          <w:i/>
          <w:iCs/>
        </w:rPr>
        <w:t xml:space="preserve">arc42 template</w:t>
      </w:r>
      <w:r>
        <w:t xml:space="preserve"> (versión 8.2). https://arc42.org</w:t>
      </w:r>
    </w:p>
    <w:p>
      <w:pPr>
        <w:spacing w:after="90" w:line="264"/>
        <w:jc w:val="left"/>
      </w:pPr>
      <w:r>
        <w:t xml:space="preserve">F5 / NGINX. (2025). </w:t>
      </w:r>
      <w:r>
        <w:rPr>
          <w:i/>
          <w:iCs/>
        </w:rPr>
        <w:t xml:space="preserve">Module ngx_http_upstream_module</w:t>
      </w:r>
      <w:r>
        <w:t xml:space="preserve">. https://nginx.org/en/docs/http/ngx_http_upstream_module.html</w:t>
      </w:r>
    </w:p>
    <w:p>
      <w:pPr>
        <w:spacing w:after="90" w:line="264"/>
        <w:jc w:val="both"/>
      </w:pPr>
      <w:r>
        <w:rPr>
          <w:color w:val="5B6777"/>
          <w:sz w:val="16"/>
          <w:szCs w:val="16"/>
        </w:rPr>
        <w:t xml:space="preserve">Citas en el cuerpo: XGBoost (Chen &amp; Guestrin, 2016) en ADR-1 y 5.3; TreeSHAP (Lundberg &amp; Lee, 2017) en 5.3; C4 (Brown, 2018) en 5; precios AWS (2026) en 7.3; </w:t>
      </w:r>
      <w:r>
        <w:rPr>
          <w:rFonts w:ascii="Consolas" w:cs="Consolas" w:eastAsia="Consolas" w:hAnsi="Consolas"/>
          <w:color w:val="8A2B06"/>
          <w:sz w:val="15"/>
          <w:szCs w:val="15"/>
        </w:rPr>
        <w:t xml:space="preserve">resolve</w:t>
      </w:r>
      <w:r>
        <w:rPr>
          <w:color w:val="5B6777"/>
          <w:sz w:val="16"/>
          <w:szCs w:val="16"/>
        </w:rPr>
        <w:t xml:space="preserve"> de nginx (F5/NGINX, 2025) en ADR-4.</w:t>
      </w:r>
    </w:p>
    <w:p>
      <w:pPr>
        <w:pStyle w:val="Heading1"/>
        <w:spacing w:after="100" w:before="200"/>
      </w:pPr>
      <w:r>
        <w:t xml:space="preserve">Anexo B. Declaración de uso de IA generativa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3009"/>
        <w:gridCol w:w="3761"/>
        <w:gridCol w:w="1506"/>
      </w:tblGrid>
      <w:tr>
        <w:trPr>
          <w:tblHeader/>
        </w:trPr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Herramienta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Para qué se usó</w:t>
            </w:r>
          </w:p>
        </w:tc>
        <w:tc>
          <w:tcPr>
            <w:tcW w:type="dxa" w:w="376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verificó el equipo</w:t>
            </w:r>
          </w:p>
        </w:tc>
        <w:tc>
          <w:tcPr>
            <w:tcW w:type="dxa" w:w="15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Partes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Gemini (EP1)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Redacción y orden de ideas de EP1</w:t>
            </w:r>
          </w:p>
        </w:tc>
        <w:tc>
          <w:tcPr>
            <w:tcW w:type="dxa" w:w="376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Cobertura de cada RF/RT por una decisión</w:t>
            </w:r>
          </w:p>
        </w:tc>
        <w:tc>
          <w:tcPr>
            <w:tcW w:type="dxa" w:w="15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Caps. 1–4, 8–10 (v1.0)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mermaid.ai / Mermaid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Diagramas versionados en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docs/diagramas/*.mmd</w:t>
            </w:r>
          </w:p>
        </w:tc>
        <w:tc>
          <w:tcPr>
            <w:tcW w:type="dxa" w:w="376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Que la figura 3 tenga exactamente los servicios de </w:t>
            </w:r>
            <w:r>
              <w:rPr>
                <w:rFonts w:ascii="Consolas" w:cs="Consolas" w:eastAsia="Consolas" w:hAnsi="Consolas"/>
                <w:color w:val="8A2B06"/>
                <w:sz w:val="15"/>
                <w:szCs w:val="15"/>
              </w:rPr>
              <w:t xml:space="preserve">compose.yaml</w:t>
            </w:r>
          </w:p>
        </w:tc>
        <w:tc>
          <w:tcPr>
            <w:tcW w:type="dxa" w:w="15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Figuras 1–9</w:t>
            </w:r>
          </w:p>
        </w:tc>
      </w:tr>
      <w:tr>
        <w:trPr>
          <w:cantSplit/>
        </w:trPr>
        <w:tc>
          <w:tcPr>
            <w:tcW w:type="dxa" w:w="163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3009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Borrador del código (preparar.py, entrenar.py, servicios, nginx.conf, compose.yaml, ci.yml), de las pruebas y de este documento</w:t>
            </w:r>
          </w:p>
        </w:tc>
        <w:tc>
          <w:tcPr>
            <w:tcW w:type="dxa" w:w="376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Se ejecutó todo: pruebas en verde, carga dos veces sin duplicar, medición de 7.2 y prueba de caída de réplica; se revisó cada regla de limpieza contra los datos y cada cifra contra su fuente; cada integrante puede explicar y modificar su parte</w:t>
            </w:r>
          </w:p>
        </w:tc>
        <w:tc>
          <w:tcPr>
            <w:tcW w:type="dxa" w:w="150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Repositorio completo; caps. 5–10 (v2.0)</w:t>
            </w:r>
          </w:p>
        </w:tc>
      </w:tr>
    </w:tbl>
    <w:p>
      <w:pPr>
        <w:spacing w:after="80"/>
      </w:pPr>
    </w:p>
    <w:p>
      <w:pPr>
        <w:spacing w:after="90" w:line="264"/>
        <w:jc w:val="left"/>
      </w:pPr>
      <w:r>
        <w:t xml:space="preserve">Firmas: ______________________ Sergio Martínez     ______________________ Roberto Castro     ______________________ Oscar Larrieu</w:t>
      </w:r>
    </w:p>
    <w:p>
      <w:pPr>
        <w:pStyle w:val="Heading1"/>
        <w:spacing w:after="100" w:before="200"/>
      </w:pPr>
      <w:r>
        <w:t xml:space="preserve">Anexo C. Repositorios y sistema</w:t>
      </w:r>
    </w:p>
    <w:p>
      <w:pPr>
        <w:spacing w:after="90" w:line="264"/>
        <w:jc w:val="left"/>
      </w:pPr>
      <w:r>
        <w:t xml:space="preserve">Un solo repositorio con una carpeta por servicio; el workflow construye y publica una imagen por carpeta. </w:t>
      </w:r>
      <w:r>
        <w:rPr>
          <w:rFonts w:ascii="Consolas" w:cs="Consolas" w:eastAsia="Consolas" w:hAnsi="Consolas"/>
          <w:color w:val="8A2B06"/>
          <w:sz w:val="18"/>
          <w:szCs w:val="18"/>
        </w:rPr>
        <w:t xml:space="preserve">compose.yaml</w:t>
      </w:r>
      <w:r>
        <w:t xml:space="preserve"> de la defensa está en la raíz.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6880"/>
      </w:tblGrid>
      <w:tr>
        <w:trPr>
          <w:tblHeader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Repositorio (público)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https://github.com/oscarL22997/guardian-centinela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Tag ep2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https://github.com/oscarL22997/guardian-centinela/releases/tag/ep2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Última ejecución en verde del workflow en main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https://github.com/oscarL22997/guardian-centinela/actions/runs/NNNNNNNNNN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compose.yaml de la defensa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https://github.com/oscarL22997/guardian-centinela/blob/main/compose.yaml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Paquete gc-gateway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https://github.com/users/oscarL22997/packages/container/package/gc-gateway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Paquete gc-front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https://github.com/users/oscarL22997/packages/container/package/gc-front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Paquete gc-dominio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https://github.com/users/oscarL22997/packages/container/package/gc-dominio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Paquete gc-ia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https://github.com/users/oscarL22997/packages/container/package/gc-ia</w:t>
            </w:r>
          </w:p>
        </w:tc>
      </w:tr>
      <w:tr>
        <w:trPr>
          <w:cantSplit/>
        </w:trPr>
        <w:tc>
          <w:tcPr>
            <w:tcW w:type="dxa" w:w="3026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Paquete gc-carga</w:t>
            </w:r>
          </w:p>
        </w:tc>
        <w:tc>
          <w:tcPr>
            <w:tcW w:type="dxa" w:w="6880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https://github.com/users/oscarL22997/packages/container/package/gc-carga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2201"/>
        <w:gridCol w:w="5504"/>
      </w:tblGrid>
      <w:tr>
        <w:trPr>
          <w:tblHeader/>
        </w:trPr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Usuario de GitHub</w:t>
            </w:r>
          </w:p>
        </w:tc>
        <w:tc>
          <w:tcPr>
            <w:tcW w:type="dxa" w:w="5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 feat/ integrados en dev</w:t>
            </w:r>
          </w:p>
        </w:tc>
      </w:tr>
      <w:tr>
        <w:trPr>
          <w:cantSplit/>
        </w:trPr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Sergio Martínez</w:t>
            </w:r>
          </w:p>
        </w:tc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@USUARIO_SERGIO</w:t>
            </w:r>
          </w:p>
        </w:tc>
        <w:tc>
          <w:tcPr>
            <w:tcW w:type="dxa" w:w="5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feat/datos-tratamiento · feat/front-formulario</w:t>
            </w:r>
          </w:p>
        </w:tc>
      </w:tr>
      <w:tr>
        <w:trPr>
          <w:cantSplit/>
        </w:trPr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Roberto Castro</w:t>
            </w:r>
          </w:p>
        </w:tc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@USUARIO_ROBERTO</w:t>
            </w:r>
          </w:p>
        </w:tc>
        <w:tc>
          <w:tcPr>
            <w:tcW w:type="dxa" w:w="5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feat/dominio-reglas-umbrales · feat/gateway-balanceo</w:t>
            </w:r>
          </w:p>
        </w:tc>
      </w:tr>
      <w:tr>
        <w:trPr>
          <w:cantSplit/>
        </w:trPr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6"/>
                <w:szCs w:val="16"/>
              </w:rPr>
              <w:t xml:space="preserve">Oscar Larrieu</w:t>
            </w:r>
          </w:p>
        </w:tc>
        <w:tc>
          <w:tcPr>
            <w:tcW w:type="dxa" w:w="2201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@oscarL22997</w:t>
            </w:r>
          </w:p>
        </w:tc>
        <w:tc>
          <w:tcPr>
            <w:tcW w:type="dxa" w:w="5504"/>
            <w:tcBorders>
              <w:top w:val="single" w:color="C9D6EA" w:sz="4"/>
              <w:left w:val="single" w:color="C9D6EA" w:sz="4"/>
              <w:bottom w:val="single" w:color="C9D6EA" w:sz="4"/>
              <w:right w:val="single" w:color="C9D6EA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16"/>
                <w:szCs w:val="16"/>
              </w:rPr>
              <w:t xml:space="preserve">feat/ia-modelo-v1 · feat/pipeline-ci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7"/>
        <w:sz w:val="15"/>
        <w:szCs w:val="15"/>
      </w:rPr>
      <w:t xml:space="preserve">ITY1102 · EP2 · Guardián Centinela (arc42) · Equipo 04 · página </w:t>
    </w:r>
    <w:r>
      <w:rPr>
        <w:color w:val="5B6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1A4F9C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d5fb6fd9b9df85f233daa2deb3b146abddd41ab.png"/><Relationship Id="rId9" Type="http://schemas.openxmlformats.org/officeDocument/2006/relationships/image" Target="media/76e348019316472d15650e0a182c6a94c3746afa.png"/><Relationship Id="rId10" Type="http://schemas.openxmlformats.org/officeDocument/2006/relationships/image" Target="media/5bd5790da77d24994060b9eda81609d18bd75fb1.png"/><Relationship Id="rId11" Type="http://schemas.openxmlformats.org/officeDocument/2006/relationships/image" Target="media/8918269e25bc38ddeb045e1ef978bc35ce752944.png"/><Relationship Id="rId12" Type="http://schemas.openxmlformats.org/officeDocument/2006/relationships/image" Target="media/8ec0f3094982f835a784b78b84c747a1669bd239.png"/><Relationship Id="rId13" Type="http://schemas.openxmlformats.org/officeDocument/2006/relationships/image" Target="media/e9654b836851ba78b49ea793e42f97fd2e68aecd.png"/><Relationship Id="rId14" Type="http://schemas.openxmlformats.org/officeDocument/2006/relationships/image" Target="media/3d027b72ed6cc36d8f0976e216ce059515a6891b.png"/><Relationship Id="rId15" Type="http://schemas.openxmlformats.org/officeDocument/2006/relationships/image" Target="media/ff63dcc80ec3feb459e83007a30fd47b16368227.png"/><Relationship Id="rId16" Type="http://schemas.openxmlformats.org/officeDocument/2006/relationships/image" Target="media/9f0fe0d25f3f50fd3f4a896c4e1bac85dba35d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Guardián Centinela · arc42 EP2</dc:title>
  <dc:creator>Equipo 04</dc:creator>
  <cp:lastModifiedBy>Un-named</cp:lastModifiedBy>
  <cp:revision>1</cp:revision>
  <dcterms:created xsi:type="dcterms:W3CDTF">2026-10-18T02:33:28.114Z</dcterms:created>
  <dcterms:modified xsi:type="dcterms:W3CDTF">2026-10-18T02:33:28.121Z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