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Art Bible / Visual Direction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a restrained production visual language for Asterion. Detailed concepts and asset lists are development work, not canon.</w:t>
            </w:r>
          </w:p>
        </w:tc>
      </w:tr>
    </w:tbl>
    <w:p/>
    <w:p>
      <w:pPr>
        <w:pStyle w:val="Heading1"/>
      </w:pPr>
      <w:r>
        <w:t>1. Visual Pillars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Pillar</w:t>
            </w:r>
          </w:p>
        </w:tc>
        <w:tc>
          <w:tcPr>
            <w:tcW w:type="dxa" w:w="70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Institutional realism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Asterion must first look like a plausible research facility with age, maintenance, and practical function.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Decay with history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Wear reflects use, neglect, moisture, emergency response, and failed containment rather than generic “grime.”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 intrusion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 changes are precise, emotionally motivated, and readable against the room’s normal state.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Controlled color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darkness, practical light, neutral material, and restrained anomaly color; avoid constant neon spectacle.</w:t>
            </w:r>
          </w:p>
        </w:tc>
      </w:tr>
    </w:tbl>
    <w:p/>
    <w:p>
      <w:pPr>
        <w:pStyle w:val="Heading1"/>
      </w:pPr>
      <w:r>
        <w:t>2. Material and Lighting Rules</w:t>
      </w:r>
    </w:p>
    <w:p>
      <w:pPr>
        <w:pStyle w:val="ListBullet"/>
      </w:pPr>
      <w:r>
        <w:t>Prioritize concrete, painted metal, glass, ceramic tile, aging vinyl, cables, paper, and institutional furniture.</w:t>
      </w:r>
    </w:p>
    <w:p>
      <w:pPr>
        <w:pStyle w:val="ListBullet"/>
      </w:pPr>
      <w:r>
        <w:t>Use motivated light sources: fluorescents, emergency fixtures, desk lamps, monitors, and maintenance lamps.</w:t>
      </w:r>
    </w:p>
    <w:p>
      <w:pPr>
        <w:pStyle w:val="ListBullet"/>
      </w:pPr>
      <w:r>
        <w:t>Reserve animated flicker, severe contrast, and crystal/anomaly glow for tension beats and significant spaces.</w:t>
      </w:r>
    </w:p>
    <w:p>
      <w:pPr>
        <w:pStyle w:val="ListBullet"/>
      </w:pPr>
      <w:r>
        <w:t>Every space needs a navigation landmark distinct in shape, light, or silhouette.</w:t>
      </w:r>
    </w:p>
    <w:p>
      <w:pPr>
        <w:pStyle w:val="Heading1"/>
      </w:pPr>
      <w:r>
        <w:t>3. Asset Quality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Minimum standard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Modular environment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Grid-aligned, reusable pieces with clean collision, LODs where needed, and material instances.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Hero prop / Memory Anchor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Clear silhouette, readable interaction point, and a deliberate story function.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Witness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Recognizable silhouette at distance; face obscured by recording tape; readable movement and audio-emitting microphone.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 art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Legible in low light; avoid decorative treatment that conflicts with fast interaction.</w:t>
            </w:r>
          </w:p>
        </w:tc>
      </w:tr>
    </w:tbl>
    <w:p/>
    <w:p>
      <w:pPr>
        <w:pStyle w:val="Heading1"/>
      </w:pPr>
      <w:r>
        <w:t>4. Reference and License Protocol</w:t>
      </w:r>
    </w:p>
    <w:p>
      <w:r>
        <w:t>Store inspiration images in Assets/References and each acquired item’s license in Assets/Licenses. References inform mood; no asset, texture, character, logo, or distinctive design is copied without an appropriate commercial license.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art-direction baseline from Project Echo’s established institutional-horror premise and The Witness visual concept.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ART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