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spacing w:after="120"/>
        <w:jc w:val="center"/>
      </w:pPr>
      <w:r>
        <w:rPr>
          <w:rFonts w:ascii="Calibri" w:hAnsi="Calibri"/>
          <w:b/>
          <w:color w:val="0B2545"/>
          <w:sz w:val="60"/>
        </w:rPr>
        <w:t>PROJECT ECHO</w:t>
      </w:r>
    </w:p>
    <w:p>
      <w:pPr>
        <w:spacing w:after="360"/>
        <w:jc w:val="center"/>
      </w:pPr>
      <w:r>
        <w:rPr>
          <w:rFonts w:ascii="Calibri" w:hAnsi="Calibri"/>
          <w:b w:val="0"/>
          <w:color w:val="555555"/>
          <w:sz w:val="36"/>
        </w:rPr>
        <w:t>Development Bible</w:t>
      </w:r>
    </w:p>
    <w:p>
      <w:pPr>
        <w:jc w:val="center"/>
      </w:pPr>
      <w:r>
        <w:rPr>
          <w:rFonts w:ascii="Calibri" w:hAnsi="Calibri"/>
          <w:color w:val="555555"/>
          <w:sz w:val="22"/>
        </w:rPr>
        <w:t>Foundation draft | v0.1 | 22 July 2026</w:t>
      </w:r>
    </w:p>
    <w:p>
      <w:pPr>
        <w:spacing w:after="1600"/>
      </w:pPr>
    </w:p>
    <w:p>
      <w:pPr>
        <w:jc w:val="center"/>
      </w:pPr>
      <w:r>
        <w:rPr>
          <w:rFonts w:ascii="Calibri" w:hAnsi="Calibri"/>
          <w:i/>
          <w:color w:val="0B2545"/>
          <w:sz w:val="28"/>
        </w:rPr>
        <w:t>“Memory never dies. It only waits to be remembered.”</w:t>
      </w:r>
    </w:p>
    <w:p>
      <w:r>
        <w:br w:type="page"/>
      </w:r>
    </w:p>
    <w:p>
      <w:pPr>
        <w:pStyle w:val="Heading1"/>
      </w:pPr>
      <w:r>
        <w:t>Purpose and Scope</w:t>
      </w:r>
    </w:p>
    <w:p>
      <w:pPr>
        <w:keepLines/>
      </w:pPr>
      <w:r>
        <w:rPr>
          <w:rFonts w:ascii="Calibri" w:hAnsi="Calibri"/>
          <w:sz w:val="22"/>
        </w:rPr>
        <w:t>This is the initial master reference for Project Echo. It records the current creative direction, the first chapter of world history, and the documentation system proposed for the game. It is intentionally a living document: later chapters should refine it rather than overwrite decisions without a record.</w:t>
      </w:r>
    </w:p>
    <w:p>
      <w:pPr>
        <w:pStyle w:val="Heading2"/>
      </w:pPr>
      <w:r>
        <w:t>Core Development Principle</w:t>
      </w:r>
    </w:p>
    <w:p>
      <w:pPr>
        <w:keepLines/>
      </w:pPr>
      <w:r>
        <w:rPr>
          <w:rFonts w:ascii="Calibri" w:hAnsi="Calibri"/>
          <w:sz w:val="22"/>
        </w:rPr>
        <w:t>Project Echo should be designed like a real studio production. Major narrative, gameplay, technical, art, audio, level-design, and production decisions are documented so the project remains understandable months later and can be handed to a collaborator or used as grounded input for implementation tools.</w:t>
      </w:r>
    </w:p>
    <w:p>
      <w:pPr>
        <w:pStyle w:val="Heading2"/>
      </w:pPr>
      <w:r>
        <w:t>Creative North Star</w:t>
      </w:r>
    </w:p>
    <w:p>
      <w:pPr>
        <w:keepLines/>
      </w:pPr>
      <w:r>
        <w:rPr>
          <w:rFonts w:ascii="Calibri" w:hAnsi="Calibri"/>
          <w:sz w:val="22"/>
        </w:rPr>
        <w:t>The player should uncover only about 20–30% of the world’s history. The remaining 70–80% exists to give the setting depth, continuity, and the feeling that the institute existed long before the player arrived. Horror comes from a scientific discovery slipping beyond human understanding—not from a generic evil corporation, random demons, a cursed artifact, or unexplained magic.</w:t>
      </w:r>
    </w:p>
    <w:p>
      <w:pPr>
        <w:pStyle w:val="Heading2"/>
      </w:pPr>
      <w:r>
        <w:t>Current Naming Decision</w:t>
      </w:r>
    </w:p>
    <w:tbl>
      <w:tblPr>
        <w:tblStyle w:val="TableGrid"/>
        <w:tblW w:type="auto" w:w="0"/>
        <w:tblLayout w:type="fixed"/>
        <w:tblLook w:firstColumn="1" w:firstRow="1" w:lastColumn="0" w:lastRow="0" w:noHBand="0" w:noVBand="1" w:val="04A0"/>
      </w:tblPr>
      <w:tblGrid>
        <w:gridCol w:w="4680"/>
        <w:gridCol w:w="4680"/>
      </w:tblGrid>
      <w:tr>
        <w:tc>
          <w:tcPr>
            <w:tcW w:type="dxa" w:w="2592"/>
          </w:tcPr>
          <w:p>
            <w:pPr>
              <w:spacing w:after="40"/>
            </w:pPr>
            <w:r>
              <w:rPr>
                <w:rFonts w:ascii="Calibri" w:hAnsi="Calibri"/>
                <w:b/>
                <w:color w:val="0B2545"/>
                <w:sz w:val="21"/>
              </w:rPr>
              <w:t>Institution</w:t>
            </w:r>
          </w:p>
        </w:tc>
        <w:tc>
          <w:tcPr>
            <w:tcW w:type="dxa" w:w="6768"/>
          </w:tcPr>
          <w:p>
            <w:pPr>
              <w:spacing w:after="40"/>
            </w:pPr>
            <w:r>
              <w:rPr>
                <w:rFonts w:ascii="Calibri" w:hAnsi="Calibri"/>
                <w:b w:val="0"/>
                <w:sz w:val="21"/>
              </w:rPr>
              <w:t>Asterion Research Institute — a believable research organization that can support other anomalies and future stories.</w:t>
            </w:r>
          </w:p>
        </w:tc>
      </w:tr>
      <w:tr>
        <w:tc>
          <w:tcPr>
            <w:tcW w:type="dxa" w:w="2592"/>
          </w:tcPr>
          <w:p>
            <w:pPr>
              <w:spacing w:after="40"/>
            </w:pPr>
            <w:r>
              <w:rPr>
                <w:rFonts w:ascii="Calibri" w:hAnsi="Calibri"/>
                <w:b/>
                <w:color w:val="0B2545"/>
                <w:sz w:val="21"/>
              </w:rPr>
              <w:t>Classified initiative</w:t>
            </w:r>
          </w:p>
        </w:tc>
        <w:tc>
          <w:tcPr>
            <w:tcW w:type="dxa" w:w="6768"/>
          </w:tcPr>
          <w:p>
            <w:pPr>
              <w:spacing w:after="40"/>
            </w:pPr>
            <w:r>
              <w:rPr>
                <w:rFonts w:ascii="Calibri" w:hAnsi="Calibri"/>
                <w:b w:val="0"/>
                <w:sz w:val="21"/>
              </w:rPr>
              <w:t>Project Echo — the memorable codename for the institute’s investigation into emotional memory traces.</w:t>
            </w:r>
          </w:p>
        </w:tc>
      </w:tr>
      <w:tr>
        <w:tc>
          <w:tcPr>
            <w:tcW w:type="dxa" w:w="2592"/>
          </w:tcPr>
          <w:p>
            <w:pPr>
              <w:spacing w:after="40"/>
            </w:pPr>
            <w:r>
              <w:rPr>
                <w:rFonts w:ascii="Calibri" w:hAnsi="Calibri"/>
                <w:b/>
                <w:color w:val="0B2545"/>
                <w:sz w:val="21"/>
              </w:rPr>
              <w:t>Primary setting</w:t>
            </w:r>
          </w:p>
        </w:tc>
        <w:tc>
          <w:tcPr>
            <w:tcW w:type="dxa" w:w="6768"/>
          </w:tcPr>
          <w:p>
            <w:pPr>
              <w:spacing w:after="40"/>
            </w:pPr>
            <w:r>
              <w:rPr>
                <w:rFonts w:ascii="Calibri" w:hAnsi="Calibri"/>
                <w:b w:val="0"/>
                <w:sz w:val="21"/>
              </w:rPr>
              <w:t>The underground Asterion Research Institute facility, built beneath a mountain in the Philippines.</w:t>
            </w:r>
          </w:p>
        </w:tc>
      </w:tr>
    </w:tbl>
    <w:p>
      <w:pPr>
        <w:pStyle w:val="Heading1"/>
      </w:pPr>
      <w:r>
        <w:t>Story Rules</w:t>
      </w:r>
    </w:p>
    <w:p>
      <w:pPr>
        <w:keepLines/>
      </w:pPr>
      <w:r>
        <w:rPr>
          <w:rFonts w:ascii="Calibri" w:hAnsi="Calibri"/>
          <w:sz w:val="22"/>
        </w:rPr>
        <w:t>These rules are the proposed foundations for internal consistency. They should guide narrative, gameplay, sound, and level design.</w:t>
      </w:r>
    </w:p>
    <w:p>
      <w:pPr>
        <w:pStyle w:val="ListBullet"/>
        <w:spacing w:after="80" w:line="300" w:lineRule="auto"/>
      </w:pPr>
      <w:r>
        <w:t>Every memory leaves an Echo.</w:t>
      </w:r>
    </w:p>
    <w:p>
      <w:pPr>
        <w:pStyle w:val="ListBullet"/>
        <w:spacing w:after="80" w:line="300" w:lineRule="auto"/>
      </w:pPr>
      <w:r>
        <w:t>Echoes are emotional imprints, not ghosts.</w:t>
      </w:r>
    </w:p>
    <w:p>
      <w:pPr>
        <w:pStyle w:val="ListBullet"/>
        <w:spacing w:after="80" w:line="300" w:lineRule="auto"/>
      </w:pPr>
      <w:r>
        <w:t>Echoes cannot lie, but they never reveal the complete truth.</w:t>
      </w:r>
    </w:p>
    <w:p>
      <w:pPr>
        <w:pStyle w:val="ListBullet"/>
        <w:spacing w:after="80" w:line="300" w:lineRule="auto"/>
      </w:pPr>
      <w:r>
        <w:t>The facility amplifies Echoes because of a geological anomaly.</w:t>
      </w:r>
    </w:p>
    <w:p>
      <w:pPr>
        <w:pStyle w:val="ListBullet"/>
        <w:spacing w:after="80" w:line="300" w:lineRule="auto"/>
      </w:pPr>
      <w:r>
        <w:t>The Witness is the first recorded Echo.</w:t>
      </w:r>
    </w:p>
    <w:p>
      <w:pPr>
        <w:pStyle w:val="ListBullet"/>
        <w:spacing w:after="80" w:line="300" w:lineRule="auto"/>
      </w:pPr>
      <w:r>
        <w:t>Memory changes reality.</w:t>
      </w:r>
    </w:p>
    <w:p>
      <w:pPr>
        <w:pStyle w:val="Heading1"/>
      </w:pPr>
      <w:r>
        <w:t>Chapter 1 — The History of Project Echo</w:t>
      </w:r>
    </w:p>
    <w:p>
      <w:pPr>
        <w:pStyle w:val="Heading2"/>
      </w:pPr>
      <w:r>
        <w:t>1.1 The Beginning</w:t>
      </w:r>
    </w:p>
    <w:p>
      <w:pPr>
        <w:keepLines/>
      </w:pPr>
      <w:r>
        <w:rPr>
          <w:rFonts w:ascii="Calibri" w:hAnsi="Calibri"/>
          <w:sz w:val="22"/>
        </w:rPr>
        <w:t>In 1978, the Philippine government quietly partnered with private scientific institutions to fund a classified initiative: Project Echo. Publicly, it did not exist. Official records described the land as a geological survey station; only a small group knew its true purpose.</w:t>
      </w:r>
    </w:p>
    <w:p>
      <w:pPr>
        <w:pStyle w:val="Heading3"/>
      </w:pPr>
      <w:r>
        <w:t>The Discovery</w:t>
      </w:r>
    </w:p>
    <w:p>
      <w:pPr>
        <w:keepLines/>
      </w:pPr>
      <w:r>
        <w:rPr>
          <w:rFonts w:ascii="Calibri" w:hAnsi="Calibri"/>
          <w:sz w:val="22"/>
        </w:rPr>
        <w:t>During excavation beneath the mountain, workers reported voices while alone, footsteps in empty tunnels, distant conversations with no source, and sightings of familiar people who were not there. Exhaustion was the first explanation—until instruments detected anomalies with no known cause. The site was classified overnight.</w:t>
      </w:r>
    </w:p>
    <w:p>
      <w:pPr>
        <w:pStyle w:val="Heading2"/>
      </w:pPr>
      <w:r>
        <w:t>1.2 The Echo Phenomenon</w:t>
      </w:r>
    </w:p>
    <w:p>
      <w:pPr>
        <w:keepLines/>
      </w:pPr>
      <w:r>
        <w:rPr>
          <w:rFonts w:ascii="Calibri" w:hAnsi="Calibri"/>
          <w:sz w:val="22"/>
        </w:rPr>
        <w:t>Scientists first designated the anomaly E-01, later renaming it the Echo Resonance Field. The field is not supernatural; it is a natural property of the location. Underground crystal formations react to intense human emotion. Fear, grief, joy, and despair can leave microscopic energy patterns in the environment. Elsewhere these traces fade over centuries. Inside the facility, they remain.</w:t>
      </w:r>
    </w:p>
    <w:p>
      <w:pPr>
        <w:pStyle w:val="Heading2"/>
      </w:pPr>
      <w:r>
        <w:t>1.3 Why the Facility Was Built There</w:t>
      </w:r>
    </w:p>
    <w:p>
      <w:pPr>
        <w:keepLines/>
      </w:pPr>
      <w:r>
        <w:rPr>
          <w:rFonts w:ascii="Calibri" w:hAnsi="Calibri"/>
          <w:sz w:val="22"/>
        </w:rPr>
        <w:t>The facility was not originally built to study memory. It was built to answer one question: can human consciousness leave measurable traces after an emotional event? If so, the work could enable recorded memories, knowledge preserved beyond death, reconstructed historical events, and treatments for memory loss. The promise was hopeful; the risks were not yet imagined.</w:t>
      </w:r>
    </w:p>
    <w:p>
      <w:pPr>
        <w:pStyle w:val="Heading2"/>
      </w:pPr>
      <w:r>
        <w:t>1.4 The Founders</w:t>
      </w:r>
    </w:p>
    <w:tbl>
      <w:tblPr>
        <w:tblStyle w:val="TableGrid"/>
        <w:tblW w:type="auto" w:w="0"/>
        <w:tblLayout w:type="fixed"/>
        <w:tblLook w:firstColumn="1" w:firstRow="1" w:lastColumn="0" w:lastRow="0" w:noHBand="0" w:noVBand="1" w:val="04A0"/>
      </w:tblPr>
      <w:tblGrid>
        <w:gridCol w:w="4680"/>
        <w:gridCol w:w="4680"/>
      </w:tblGrid>
      <w:tr>
        <w:tc>
          <w:tcPr>
            <w:tcW w:type="dxa" w:w="2592"/>
          </w:tcPr>
          <w:p>
            <w:pPr>
              <w:spacing w:after="40"/>
            </w:pPr>
            <w:r>
              <w:rPr>
                <w:rFonts w:ascii="Calibri" w:hAnsi="Calibri"/>
                <w:b/>
                <w:color w:val="0B2545"/>
                <w:sz w:val="21"/>
              </w:rPr>
              <w:t>Dr. Elias Navarro</w:t>
            </w:r>
          </w:p>
        </w:tc>
        <w:tc>
          <w:tcPr>
            <w:tcW w:type="dxa" w:w="6768"/>
          </w:tcPr>
          <w:p>
            <w:pPr>
              <w:spacing w:after="40"/>
            </w:pPr>
            <w:r>
              <w:rPr>
                <w:rFonts w:ascii="Calibri" w:hAnsi="Calibri"/>
                <w:b w:val="0"/>
                <w:sz w:val="21"/>
              </w:rPr>
              <w:t>Founder and visionary neuroscientist. He believes memory is the final frontier of human understanding. His deepest fear is not death, but being forgotten.</w:t>
            </w:r>
          </w:p>
        </w:tc>
      </w:tr>
      <w:tr>
        <w:tc>
          <w:tcPr>
            <w:tcW w:type="dxa" w:w="2592"/>
          </w:tcPr>
          <w:p>
            <w:pPr>
              <w:spacing w:after="40"/>
            </w:pPr>
            <w:r>
              <w:rPr>
                <w:rFonts w:ascii="Calibri" w:hAnsi="Calibri"/>
                <w:b/>
                <w:color w:val="0B2545"/>
                <w:sz w:val="21"/>
              </w:rPr>
              <w:t>Dr. Sophia Reyes</w:t>
            </w:r>
          </w:p>
        </w:tc>
        <w:tc>
          <w:tcPr>
            <w:tcW w:type="dxa" w:w="6768"/>
          </w:tcPr>
          <w:p>
            <w:pPr>
              <w:spacing w:after="40"/>
            </w:pPr>
            <w:r>
              <w:rPr>
                <w:rFonts w:ascii="Calibri" w:hAnsi="Calibri"/>
                <w:b w:val="0"/>
                <w:sz w:val="21"/>
              </w:rPr>
              <w:t>Lead physicist who discovered the crystals beneath the mountain. Practical and skeptical, she repeatedly warns that the experiments are becoming dangerous.</w:t>
            </w:r>
          </w:p>
        </w:tc>
      </w:tr>
      <w:tr>
        <w:tc>
          <w:tcPr>
            <w:tcW w:type="dxa" w:w="2592"/>
          </w:tcPr>
          <w:p>
            <w:pPr>
              <w:spacing w:after="40"/>
            </w:pPr>
            <w:r>
              <w:rPr>
                <w:rFonts w:ascii="Calibri" w:hAnsi="Calibri"/>
                <w:b/>
                <w:color w:val="0B2545"/>
                <w:sz w:val="21"/>
              </w:rPr>
              <w:t>Director Victor Serrano</w:t>
            </w:r>
          </w:p>
        </w:tc>
        <w:tc>
          <w:tcPr>
            <w:tcW w:type="dxa" w:w="6768"/>
          </w:tcPr>
          <w:p>
            <w:pPr>
              <w:spacing w:after="40"/>
            </w:pPr>
            <w:r>
              <w:rPr>
                <w:rFonts w:ascii="Calibri" w:hAnsi="Calibri"/>
                <w:b w:val="0"/>
                <w:sz w:val="21"/>
              </w:rPr>
              <w:t>Government liaison. His priority is military potential, not pure science. He sees Echo as a strategic asset.</w:t>
            </w:r>
          </w:p>
        </w:tc>
      </w:tr>
    </w:tbl>
    <w:p>
      <w:pPr>
        <w:keepLines/>
      </w:pPr>
      <w:r>
        <w:rPr>
          <w:rFonts w:ascii="Calibri" w:hAnsi="Calibri"/>
          <w:sz w:val="22"/>
        </w:rPr>
        <w:t>Their competing motivations drive the major conflicts of the story.</w:t>
      </w:r>
    </w:p>
    <w:p>
      <w:pPr>
        <w:pStyle w:val="Heading2"/>
      </w:pPr>
      <w:r>
        <w:t>1.5 The First Success</w:t>
      </w:r>
    </w:p>
    <w:p>
      <w:pPr>
        <w:keepLines/>
      </w:pPr>
      <w:r>
        <w:rPr>
          <w:rFonts w:ascii="Calibri" w:hAnsi="Calibri"/>
          <w:sz w:val="22"/>
        </w:rPr>
        <w:t>After years of limited progress, a volunteer entered a resonance chamber. For exactly 4.3 seconds, fragments of the volunteer’s childhood projected into physical space. The room became the childhood home: furniture appeared, voices echoed, and the smell of rain filled the chamber. It was not a recording; it was an event. Then it vanished.</w:t>
      </w:r>
    </w:p>
    <w:p>
      <w:pPr>
        <w:pStyle w:val="Heading2"/>
      </w:pPr>
      <w:r>
        <w:t>1.6 The Turning Point</w:t>
      </w:r>
    </w:p>
    <w:p>
      <w:pPr>
        <w:keepLines/>
      </w:pPr>
      <w:r>
        <w:rPr>
          <w:rFonts w:ascii="Calibri" w:hAnsi="Calibri"/>
          <w:sz w:val="22"/>
        </w:rPr>
        <w:t>Funding expanded rapidly. The underground facility grew to include laboratories, containment wings, observation chambers, residential quarters, and security systems. The project shifted from research to obsession. Scientists stopped asking “Can we?” and began asking “How far can we go?”</w:t>
      </w:r>
    </w:p>
    <w:p>
      <w:pPr>
        <w:pStyle w:val="Heading2"/>
      </w:pPr>
      <w:r>
        <w:t>1.7 Incident-01</w:t>
      </w:r>
    </w:p>
    <w:p>
      <w:pPr>
        <w:keepLines/>
      </w:pPr>
      <w:r>
        <w:rPr>
          <w:rFonts w:ascii="Calibri" w:hAnsi="Calibri"/>
          <w:sz w:val="22"/>
        </w:rPr>
        <w:t>A researcher entered an empty laboratory. Security footage showed no one else, yet the researcher spent nearly two hours talking, laughing, arguing, and crying with someone unseen. When security entered, the room was empty. The researcher repeatedly asked, “Can’t you see her?” He resigned the next day and never explained whom he had been speaking to.</w:t>
      </w:r>
    </w:p>
    <w:p>
      <w:pPr>
        <w:pStyle w:val="Heading2"/>
      </w:pPr>
      <w:r>
        <w:t>1.8 The Beginning of Fear</w:t>
      </w:r>
    </w:p>
    <w:p>
      <w:pPr>
        <w:keepLines/>
      </w:pPr>
      <w:r>
        <w:rPr>
          <w:rFonts w:ascii="Calibri" w:hAnsi="Calibri"/>
          <w:sz w:val="22"/>
        </w:rPr>
        <w:t>Reports became impossible to dismiss: hallways changed length, equipment moved on its own, footsteps followed personnel, voices repeated yesterday’s conversations, and rooms appeared exactly as they had years earlier. The facility was not malfunctioning; it was changing. The Echo Resonance Field had begun interacting with the people studying it.</w:t>
      </w:r>
    </w:p>
    <w:p>
      <w:pPr>
        <w:keepLines/>
        <w:jc w:val="center"/>
      </w:pPr>
      <w:r>
        <w:rPr>
          <w:rFonts w:ascii="Calibri" w:hAnsi="Calibri"/>
          <w:sz w:val="22"/>
        </w:rPr>
        <w:t>The scientists believed they were observing something extraordinary. In reality, it had already begun observing them.</w:t>
      </w:r>
    </w:p>
    <w:p>
      <w:pPr>
        <w:pStyle w:val="Heading1"/>
      </w:pPr>
      <w:r>
        <w:t>Design Implications</w:t>
      </w:r>
    </w:p>
    <w:p>
      <w:pPr>
        <w:keepLines/>
      </w:pPr>
      <w:r>
        <w:rPr>
          <w:rFonts w:ascii="Calibri" w:hAnsi="Calibri"/>
          <w:sz w:val="22"/>
        </w:rPr>
        <w:t>The central gameplay and atmosphere principle is that the building remembers everything. Story, level design, audio, and interaction design should reinforce this idea: spaces can replay events, emotional residue can alter perception, and revelations should feel partial but truthful.</w:t>
      </w:r>
    </w:p>
    <w:tbl>
      <w:tblPr>
        <w:tblStyle w:val="TableGrid"/>
        <w:tblW w:type="auto" w:w="0"/>
        <w:tblLayout w:type="fixed"/>
        <w:tblLook w:firstColumn="1" w:firstRow="1" w:lastColumn="0" w:lastRow="0" w:noHBand="0" w:noVBand="1" w:val="04A0"/>
      </w:tblPr>
      <w:tblGrid>
        <w:gridCol w:w="4680"/>
        <w:gridCol w:w="4680"/>
      </w:tblGrid>
      <w:tr>
        <w:tc>
          <w:tcPr>
            <w:tcW w:type="dxa" w:w="2592"/>
          </w:tcPr>
          <w:p>
            <w:pPr>
              <w:spacing w:after="40"/>
            </w:pPr>
            <w:r>
              <w:rPr>
                <w:rFonts w:ascii="Calibri" w:hAnsi="Calibri"/>
                <w:b/>
                <w:color w:val="0B2545"/>
                <w:sz w:val="21"/>
              </w:rPr>
              <w:t>Narrative</w:t>
            </w:r>
          </w:p>
        </w:tc>
        <w:tc>
          <w:tcPr>
            <w:tcW w:type="dxa" w:w="6768"/>
          </w:tcPr>
          <w:p>
            <w:pPr>
              <w:spacing w:after="40"/>
            </w:pPr>
            <w:r>
              <w:rPr>
                <w:rFonts w:ascii="Calibri" w:hAnsi="Calibri"/>
                <w:b w:val="0"/>
                <w:sz w:val="21"/>
              </w:rPr>
              <w:t>Lore is layered. The player encounters fragments, records, spaces, and Echo events rather than a complete explanation.</w:t>
            </w:r>
          </w:p>
        </w:tc>
      </w:tr>
      <w:tr>
        <w:tc>
          <w:tcPr>
            <w:tcW w:type="dxa" w:w="2592"/>
          </w:tcPr>
          <w:p>
            <w:pPr>
              <w:spacing w:after="40"/>
            </w:pPr>
            <w:r>
              <w:rPr>
                <w:rFonts w:ascii="Calibri" w:hAnsi="Calibri"/>
                <w:b/>
                <w:color w:val="0B2545"/>
                <w:sz w:val="21"/>
              </w:rPr>
              <w:t>Level design</w:t>
            </w:r>
          </w:p>
        </w:tc>
        <w:tc>
          <w:tcPr>
            <w:tcW w:type="dxa" w:w="6768"/>
          </w:tcPr>
          <w:p>
            <w:pPr>
              <w:spacing w:after="40"/>
            </w:pPr>
            <w:r>
              <w:rPr>
                <w:rFonts w:ascii="Calibri" w:hAnsi="Calibri"/>
                <w:b w:val="0"/>
                <w:sz w:val="21"/>
              </w:rPr>
              <w:t>Architecture can shift or return to past states when an Echo manifests, while still following established rules.</w:t>
            </w:r>
          </w:p>
        </w:tc>
      </w:tr>
      <w:tr>
        <w:tc>
          <w:tcPr>
            <w:tcW w:type="dxa" w:w="2592"/>
          </w:tcPr>
          <w:p>
            <w:pPr>
              <w:spacing w:after="40"/>
            </w:pPr>
            <w:r>
              <w:rPr>
                <w:rFonts w:ascii="Calibri" w:hAnsi="Calibri"/>
                <w:b/>
                <w:color w:val="0B2545"/>
                <w:sz w:val="21"/>
              </w:rPr>
              <w:t>Audio</w:t>
            </w:r>
          </w:p>
        </w:tc>
        <w:tc>
          <w:tcPr>
            <w:tcW w:type="dxa" w:w="6768"/>
          </w:tcPr>
          <w:p>
            <w:pPr>
              <w:spacing w:after="40"/>
            </w:pPr>
            <w:r>
              <w:rPr>
                <w:rFonts w:ascii="Calibri" w:hAnsi="Calibri"/>
                <w:b w:val="0"/>
                <w:sz w:val="21"/>
              </w:rPr>
              <w:t>Voices, footsteps, distant conversations, and repeated dialogue should be evidence of remembered emotional events.</w:t>
            </w:r>
          </w:p>
        </w:tc>
      </w:tr>
      <w:tr>
        <w:tc>
          <w:tcPr>
            <w:tcW w:type="dxa" w:w="2592"/>
          </w:tcPr>
          <w:p>
            <w:pPr>
              <w:spacing w:after="40"/>
            </w:pPr>
            <w:r>
              <w:rPr>
                <w:rFonts w:ascii="Calibri" w:hAnsi="Calibri"/>
                <w:b/>
                <w:color w:val="0B2545"/>
                <w:sz w:val="21"/>
              </w:rPr>
              <w:t>Horror tone</w:t>
            </w:r>
          </w:p>
        </w:tc>
        <w:tc>
          <w:tcPr>
            <w:tcW w:type="dxa" w:w="6768"/>
          </w:tcPr>
          <w:p>
            <w:pPr>
              <w:spacing w:after="40"/>
            </w:pPr>
            <w:r>
              <w:rPr>
                <w:rFonts w:ascii="Calibri" w:hAnsi="Calibri"/>
                <w:b w:val="0"/>
                <w:sz w:val="21"/>
              </w:rPr>
              <w:t>Tragedy comes from curiosity, ambition, fear, and hope. The researchers are human rather than simple villains.</w:t>
            </w:r>
          </w:p>
        </w:tc>
      </w:tr>
      <w:tr>
        <w:tc>
          <w:tcPr>
            <w:tcW w:type="dxa" w:w="2592"/>
          </w:tcPr>
          <w:p>
            <w:pPr>
              <w:spacing w:after="40"/>
            </w:pPr>
            <w:r>
              <w:rPr>
                <w:rFonts w:ascii="Calibri" w:hAnsi="Calibri"/>
                <w:b/>
                <w:color w:val="0B2545"/>
                <w:sz w:val="21"/>
              </w:rPr>
              <w:t>Franchise potential</w:t>
            </w:r>
          </w:p>
        </w:tc>
        <w:tc>
          <w:tcPr>
            <w:tcW w:type="dxa" w:w="6768"/>
          </w:tcPr>
          <w:p>
            <w:pPr>
              <w:spacing w:after="40"/>
            </w:pPr>
            <w:r>
              <w:rPr>
                <w:rFonts w:ascii="Calibri" w:hAnsi="Calibri"/>
                <w:b w:val="0"/>
                <w:sz w:val="21"/>
              </w:rPr>
              <w:t>Asterion can investigate other anomalies in future installments without making every story about Echo.</w:t>
            </w:r>
          </w:p>
        </w:tc>
      </w:tr>
    </w:tbl>
    <w:p>
      <w:pPr>
        <w:pStyle w:val="Heading1"/>
      </w:pPr>
      <w:r>
        <w:t>Documentation System</w:t>
      </w:r>
    </w:p>
    <w:p>
      <w:pPr>
        <w:keepLines/>
      </w:pPr>
      <w:r>
        <w:rPr>
          <w:rFonts w:ascii="Calibri" w:hAnsi="Calibri"/>
          <w:sz w:val="22"/>
        </w:rPr>
        <w:t>The Project Echo Development Bible is the single source of truth. The following linked documents make up the professional documentation system proposed for the project.</w:t>
      </w:r>
    </w:p>
    <w:tbl>
      <w:tblPr>
        <w:tblStyle w:val="TableGrid"/>
        <w:tblW w:type="auto" w:w="0"/>
        <w:tblLayout w:type="fixed"/>
        <w:tblLook w:firstColumn="1" w:firstRow="1" w:lastColumn="0" w:lastRow="0" w:noHBand="0" w:noVBand="1" w:val="04A0"/>
      </w:tblPr>
      <w:tblGrid>
        <w:gridCol w:w="4680"/>
        <w:gridCol w:w="4680"/>
      </w:tblGrid>
      <w:tr>
        <w:tc>
          <w:tcPr>
            <w:tcW w:type="dxa" w:w="2592"/>
          </w:tcPr>
          <w:p>
            <w:pPr>
              <w:spacing w:after="40"/>
            </w:pPr>
            <w:r>
              <w:rPr>
                <w:rFonts w:ascii="Calibri" w:hAnsi="Calibri"/>
                <w:b/>
                <w:color w:val="0B2545"/>
                <w:sz w:val="21"/>
              </w:rPr>
              <w:t>01_GDD.docx</w:t>
            </w:r>
          </w:p>
        </w:tc>
        <w:tc>
          <w:tcPr>
            <w:tcW w:type="dxa" w:w="6768"/>
          </w:tcPr>
          <w:p>
            <w:pPr>
              <w:spacing w:after="40"/>
            </w:pPr>
            <w:r>
              <w:rPr>
                <w:rFonts w:ascii="Calibri" w:hAnsi="Calibri"/>
                <w:b w:val="0"/>
                <w:sz w:val="21"/>
              </w:rPr>
              <w:t>Game Design Document: player experience, core loop, mechanics, progression, systems, and scope.</w:t>
            </w:r>
          </w:p>
        </w:tc>
      </w:tr>
      <w:tr>
        <w:tc>
          <w:tcPr>
            <w:tcW w:type="dxa" w:w="2592"/>
          </w:tcPr>
          <w:p>
            <w:pPr>
              <w:spacing w:after="40"/>
            </w:pPr>
            <w:r>
              <w:rPr>
                <w:rFonts w:ascii="Calibri" w:hAnsi="Calibri"/>
                <w:b/>
                <w:color w:val="0B2545"/>
                <w:sz w:val="21"/>
              </w:rPr>
              <w:t>02_Story_Bible.docx</w:t>
            </w:r>
          </w:p>
        </w:tc>
        <w:tc>
          <w:tcPr>
            <w:tcW w:type="dxa" w:w="6768"/>
          </w:tcPr>
          <w:p>
            <w:pPr>
              <w:spacing w:after="40"/>
            </w:pPr>
            <w:r>
              <w:rPr>
                <w:rFonts w:ascii="Calibri" w:hAnsi="Calibri"/>
                <w:b w:val="0"/>
                <w:sz w:val="21"/>
              </w:rPr>
              <w:t>Story history, characters, timeline, facility, chapters, endings, and collectible lore.</w:t>
            </w:r>
          </w:p>
        </w:tc>
      </w:tr>
      <w:tr>
        <w:tc>
          <w:tcPr>
            <w:tcW w:type="dxa" w:w="2592"/>
          </w:tcPr>
          <w:p>
            <w:pPr>
              <w:spacing w:after="40"/>
            </w:pPr>
            <w:r>
              <w:rPr>
                <w:rFonts w:ascii="Calibri" w:hAnsi="Calibri"/>
                <w:b/>
                <w:color w:val="0B2545"/>
                <w:sz w:val="21"/>
              </w:rPr>
              <w:t>03_TDD.docx</w:t>
            </w:r>
          </w:p>
        </w:tc>
        <w:tc>
          <w:tcPr>
            <w:tcW w:type="dxa" w:w="6768"/>
          </w:tcPr>
          <w:p>
            <w:pPr>
              <w:spacing w:after="40"/>
            </w:pPr>
            <w:r>
              <w:rPr>
                <w:rFonts w:ascii="Calibri" w:hAnsi="Calibri"/>
                <w:b w:val="0"/>
                <w:sz w:val="21"/>
              </w:rPr>
              <w:t>Technical Design Document: Unreal Engine architecture, systems, data, implementation constraints, and tools.</w:t>
            </w:r>
          </w:p>
        </w:tc>
      </w:tr>
      <w:tr>
        <w:tc>
          <w:tcPr>
            <w:tcW w:type="dxa" w:w="2592"/>
          </w:tcPr>
          <w:p>
            <w:pPr>
              <w:spacing w:after="40"/>
            </w:pPr>
            <w:r>
              <w:rPr>
                <w:rFonts w:ascii="Calibri" w:hAnsi="Calibri"/>
                <w:b/>
                <w:color w:val="0B2545"/>
                <w:sz w:val="21"/>
              </w:rPr>
              <w:t>04_AI_Design.docx</w:t>
            </w:r>
          </w:p>
        </w:tc>
        <w:tc>
          <w:tcPr>
            <w:tcW w:type="dxa" w:w="6768"/>
          </w:tcPr>
          <w:p>
            <w:pPr>
              <w:spacing w:after="40"/>
            </w:pPr>
            <w:r>
              <w:rPr>
                <w:rFonts w:ascii="Calibri" w:hAnsi="Calibri"/>
                <w:b w:val="0"/>
                <w:sz w:val="21"/>
              </w:rPr>
              <w:t>The Witness AI, hearing system, investigation, search logic, and adaptive behavior.</w:t>
            </w:r>
          </w:p>
        </w:tc>
      </w:tr>
      <w:tr>
        <w:tc>
          <w:tcPr>
            <w:tcW w:type="dxa" w:w="2592"/>
          </w:tcPr>
          <w:p>
            <w:pPr>
              <w:spacing w:after="40"/>
            </w:pPr>
            <w:r>
              <w:rPr>
                <w:rFonts w:ascii="Calibri" w:hAnsi="Calibri"/>
                <w:b/>
                <w:color w:val="0B2545"/>
                <w:sz w:val="21"/>
              </w:rPr>
              <w:t>05_Level_Design.docx</w:t>
            </w:r>
          </w:p>
        </w:tc>
        <w:tc>
          <w:tcPr>
            <w:tcW w:type="dxa" w:w="6768"/>
          </w:tcPr>
          <w:p>
            <w:pPr>
              <w:spacing w:after="40"/>
            </w:pPr>
            <w:r>
              <w:rPr>
                <w:rFonts w:ascii="Calibri" w:hAnsi="Calibri"/>
                <w:b w:val="0"/>
                <w:sz w:val="21"/>
              </w:rPr>
              <w:t>Rooms, layouts, objectives, pacing, traversal, and level-specific Echo events.</w:t>
            </w:r>
          </w:p>
        </w:tc>
      </w:tr>
      <w:tr>
        <w:tc>
          <w:tcPr>
            <w:tcW w:type="dxa" w:w="2592"/>
          </w:tcPr>
          <w:p>
            <w:pPr>
              <w:spacing w:after="40"/>
            </w:pPr>
            <w:r>
              <w:rPr>
                <w:rFonts w:ascii="Calibri" w:hAnsi="Calibri"/>
                <w:b/>
                <w:color w:val="0B2545"/>
                <w:sz w:val="21"/>
              </w:rPr>
              <w:t>06_Art_Bible.docx</w:t>
            </w:r>
          </w:p>
        </w:tc>
        <w:tc>
          <w:tcPr>
            <w:tcW w:type="dxa" w:w="6768"/>
          </w:tcPr>
          <w:p>
            <w:pPr>
              <w:spacing w:after="40"/>
            </w:pPr>
            <w:r>
              <w:rPr>
                <w:rFonts w:ascii="Calibri" w:hAnsi="Calibri"/>
                <w:b w:val="0"/>
                <w:sz w:val="21"/>
              </w:rPr>
              <w:t>Visual direction, materials, lighting, props, character/enemy references, and asset requirements.</w:t>
            </w:r>
          </w:p>
        </w:tc>
      </w:tr>
      <w:tr>
        <w:tc>
          <w:tcPr>
            <w:tcW w:type="dxa" w:w="2592"/>
          </w:tcPr>
          <w:p>
            <w:pPr>
              <w:spacing w:after="40"/>
            </w:pPr>
            <w:r>
              <w:rPr>
                <w:rFonts w:ascii="Calibri" w:hAnsi="Calibri"/>
                <w:b/>
                <w:color w:val="0B2545"/>
                <w:sz w:val="21"/>
              </w:rPr>
              <w:t>07_Audio_Bible.docx</w:t>
            </w:r>
          </w:p>
        </w:tc>
        <w:tc>
          <w:tcPr>
            <w:tcW w:type="dxa" w:w="6768"/>
          </w:tcPr>
          <w:p>
            <w:pPr>
              <w:spacing w:after="40"/>
            </w:pPr>
            <w:r>
              <w:rPr>
                <w:rFonts w:ascii="Calibri" w:hAnsi="Calibri"/>
                <w:b w:val="0"/>
                <w:sz w:val="21"/>
              </w:rPr>
              <w:t>Soundscape, music, voice treatment, audio triggers, and implementation notes.</w:t>
            </w:r>
          </w:p>
        </w:tc>
      </w:tr>
      <w:tr>
        <w:tc>
          <w:tcPr>
            <w:tcW w:type="dxa" w:w="2592"/>
          </w:tcPr>
          <w:p>
            <w:pPr>
              <w:spacing w:after="40"/>
            </w:pPr>
            <w:r>
              <w:rPr>
                <w:rFonts w:ascii="Calibri" w:hAnsi="Calibri"/>
                <w:b/>
                <w:color w:val="0B2545"/>
                <w:sz w:val="21"/>
              </w:rPr>
              <w:t>Production workbooks</w:t>
            </w:r>
          </w:p>
        </w:tc>
        <w:tc>
          <w:tcPr>
            <w:tcW w:type="dxa" w:w="6768"/>
          </w:tcPr>
          <w:p>
            <w:pPr>
              <w:spacing w:after="40"/>
            </w:pPr>
            <w:r>
              <w:rPr>
                <w:rFonts w:ascii="Calibri" w:hAnsi="Calibri"/>
                <w:b w:val="0"/>
                <w:sz w:val="21"/>
              </w:rPr>
              <w:t>Roadmap, asset tracker, budget, task backlog, bug tracker, and Steam release checklist.</w:t>
            </w:r>
          </w:p>
        </w:tc>
      </w:tr>
      <w:tr>
        <w:tc>
          <w:tcPr>
            <w:tcW w:type="dxa" w:w="2592"/>
          </w:tcPr>
          <w:p>
            <w:pPr>
              <w:spacing w:after="40"/>
            </w:pPr>
            <w:r>
              <w:rPr>
                <w:rFonts w:ascii="Calibri" w:hAnsi="Calibri"/>
                <w:b/>
                <w:color w:val="0B2545"/>
                <w:sz w:val="21"/>
              </w:rPr>
              <w:t>Pitch deck</w:t>
            </w:r>
          </w:p>
        </w:tc>
        <w:tc>
          <w:tcPr>
            <w:tcW w:type="dxa" w:w="6768"/>
          </w:tcPr>
          <w:p>
            <w:pPr>
              <w:spacing w:after="40"/>
            </w:pPr>
            <w:r>
              <w:rPr>
                <w:rFonts w:ascii="Calibri" w:hAnsi="Calibri"/>
                <w:b w:val="0"/>
                <w:sz w:val="21"/>
              </w:rPr>
              <w:t>A concise presentation for collaborators, progress updates, and possible future investment discussions.</w:t>
            </w:r>
          </w:p>
        </w:tc>
      </w:tr>
    </w:tbl>
    <w:p>
      <w:pPr>
        <w:pStyle w:val="Heading1"/>
      </w:pPr>
      <w:r>
        <w:t>Proposed Story Bible Expansion</w:t>
      </w:r>
    </w:p>
    <w:p>
      <w:pPr>
        <w:pStyle w:val="ListBullet"/>
        <w:spacing w:after="80" w:line="300" w:lineRule="auto"/>
      </w:pPr>
      <w:r>
        <w:t>Chapter 1 — History</w:t>
      </w:r>
    </w:p>
    <w:p>
      <w:pPr>
        <w:pStyle w:val="ListBullet"/>
        <w:spacing w:after="80" w:line="300" w:lineRule="auto"/>
      </w:pPr>
      <w:r>
        <w:t>Chapter 2 — The Facility</w:t>
      </w:r>
    </w:p>
    <w:p>
      <w:pPr>
        <w:pStyle w:val="ListBullet"/>
        <w:spacing w:after="80" w:line="300" w:lineRule="auto"/>
      </w:pPr>
      <w:r>
        <w:t>Chapter 3 — The Witness</w:t>
      </w:r>
    </w:p>
    <w:p>
      <w:pPr>
        <w:pStyle w:val="ListBullet"/>
        <w:spacing w:after="80" w:line="300" w:lineRule="auto"/>
      </w:pPr>
      <w:r>
        <w:t>Chapter 4 — Main Character</w:t>
      </w:r>
    </w:p>
    <w:p>
      <w:pPr>
        <w:pStyle w:val="ListBullet"/>
        <w:spacing w:after="80" w:line="300" w:lineRule="auto"/>
      </w:pPr>
      <w:r>
        <w:t>Chapter 5 — Timeline</w:t>
      </w:r>
    </w:p>
    <w:p>
      <w:pPr>
        <w:pStyle w:val="ListBullet"/>
        <w:spacing w:after="80" w:line="300" w:lineRule="auto"/>
      </w:pPr>
      <w:r>
        <w:t>Chapter 6 — Game Chapters</w:t>
      </w:r>
    </w:p>
    <w:p>
      <w:pPr>
        <w:pStyle w:val="ListBullet"/>
        <w:spacing w:after="80" w:line="300" w:lineRule="auto"/>
      </w:pPr>
      <w:r>
        <w:t>Chapter 7 — Endings</w:t>
      </w:r>
    </w:p>
    <w:p>
      <w:pPr>
        <w:pStyle w:val="ListBullet"/>
        <w:spacing w:after="80" w:line="300" w:lineRule="auto"/>
      </w:pPr>
      <w:r>
        <w:t>Lore Documents and collectible text archive</w:t>
      </w:r>
    </w:p>
    <w:p>
      <w:pPr>
        <w:pStyle w:val="Heading1"/>
      </w:pPr>
      <w:r>
        <w:t>Next Documentation Priorities</w:t>
      </w:r>
    </w:p>
    <w:p>
      <w:pPr>
        <w:keepLines/>
      </w:pPr>
      <w:r>
        <w:rPr>
          <w:rFonts w:ascii="Calibri" w:hAnsi="Calibri"/>
          <w:sz w:val="22"/>
        </w:rPr>
        <w:t>Recommended sequence for the next drafts:</w:t>
      </w:r>
    </w:p>
    <w:p>
      <w:pPr>
        <w:pStyle w:val="ListBullet"/>
        <w:spacing w:after="80" w:line="300" w:lineRule="auto"/>
      </w:pPr>
      <w:r>
        <w:t>Confirm the Asterion Research Institute name and establish its public-facing cover story, location, and organizational history.</w:t>
      </w:r>
    </w:p>
    <w:p>
      <w:pPr>
        <w:pStyle w:val="ListBullet"/>
        <w:spacing w:after="80" w:line="300" w:lineRule="auto"/>
      </w:pPr>
      <w:r>
        <w:t>Define The Witness: origin, rules, relationship to the Echo Resonance Field, and gameplay role.</w:t>
      </w:r>
    </w:p>
    <w:p>
      <w:pPr>
        <w:pStyle w:val="ListBullet"/>
        <w:spacing w:after="80" w:line="300" w:lineRule="auto"/>
      </w:pPr>
      <w:r>
        <w:t>Write the player character and the game’s present-day inciting incident.</w:t>
      </w:r>
    </w:p>
    <w:p>
      <w:pPr>
        <w:pStyle w:val="ListBullet"/>
        <w:spacing w:after="80" w:line="300" w:lineRule="auto"/>
      </w:pPr>
      <w:r>
        <w:t>Create a high-level game design document that defines the core player loop and constraints before feature expansion.</w:t>
      </w:r>
    </w:p>
    <w:p>
      <w:pPr>
        <w:pStyle w:val="ListBullet"/>
        <w:spacing w:after="80" w:line="300" w:lineRule="auto"/>
      </w:pPr>
      <w:r>
        <w:t>Build a production roadmap and asset tracker once the first playable scope is clear.</w:t>
      </w:r>
    </w:p>
    <w:p>
      <w:pPr>
        <w:pStyle w:val="Heading1"/>
      </w:pPr>
      <w:r>
        <w:t>Change Log</w:t>
      </w:r>
    </w:p>
    <w:tbl>
      <w:tblPr>
        <w:tblStyle w:val="TableGrid"/>
        <w:tblW w:type="auto" w:w="0"/>
        <w:tblLayout w:type="fixed"/>
        <w:tblLook w:firstColumn="1" w:firstRow="1" w:lastColumn="0" w:lastRow="0" w:noHBand="0" w:noVBand="1" w:val="04A0"/>
      </w:tblPr>
      <w:tblGrid>
        <w:gridCol w:w="4680"/>
        <w:gridCol w:w="4680"/>
      </w:tblGrid>
      <w:tr>
        <w:tc>
          <w:tcPr>
            <w:tcW w:type="dxa" w:w="2592"/>
          </w:tcPr>
          <w:p>
            <w:pPr>
              <w:spacing w:after="40"/>
            </w:pPr>
            <w:r>
              <w:rPr>
                <w:rFonts w:ascii="Calibri" w:hAnsi="Calibri"/>
                <w:b/>
                <w:color w:val="0B2545"/>
                <w:sz w:val="21"/>
              </w:rPr>
              <w:t>v0.1 — 22 July 2026</w:t>
            </w:r>
          </w:p>
        </w:tc>
        <w:tc>
          <w:tcPr>
            <w:tcW w:type="dxa" w:w="6768"/>
          </w:tcPr>
          <w:p>
            <w:pPr>
              <w:spacing w:after="40"/>
            </w:pPr>
            <w:r>
              <w:rPr>
                <w:rFonts w:ascii="Calibri" w:hAnsi="Calibri"/>
                <w:b w:val="0"/>
                <w:sz w:val="21"/>
              </w:rPr>
              <w:t>Initial foundation draft. Captures the current Project Echo concept, Chapter 1 history, Asterion naming direction, story rules, and proposed documentation system.</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8"/>
      </w:rPr>
      <w:t>Project Echo Development Bible |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