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00912D" w14:textId="77777777" w:rsidR="006F5D4E" w:rsidRDefault="006F5D4E" w:rsidP="00D543EA">
      <w:pPr>
        <w:rPr>
          <w:rFonts w:ascii="Arial" w:hAnsi="Arial" w:cs="Arial"/>
          <w:b/>
          <w:bCs/>
          <w:sz w:val="24"/>
          <w:szCs w:val="24"/>
        </w:rPr>
      </w:pPr>
    </w:p>
    <w:p w14:paraId="459E7916" w14:textId="31BE8E06" w:rsidR="008E77BE" w:rsidRPr="00D543EA" w:rsidRDefault="00D543EA" w:rsidP="00D543EA">
      <w:pPr>
        <w:rPr>
          <w:rFonts w:ascii="Arial" w:hAnsi="Arial" w:cs="Arial"/>
          <w:b/>
          <w:bCs/>
          <w:sz w:val="24"/>
          <w:szCs w:val="24"/>
        </w:rPr>
      </w:pPr>
      <w:r w:rsidRPr="00D543EA">
        <w:rPr>
          <w:rFonts w:ascii="Arial" w:hAnsi="Arial" w:cs="Arial"/>
          <w:b/>
          <w:bCs/>
          <w:sz w:val="24"/>
          <w:szCs w:val="24"/>
        </w:rPr>
        <w:t>Decisiones tomadas</w:t>
      </w:r>
      <w:r w:rsidR="00F71F16">
        <w:rPr>
          <w:rFonts w:ascii="Arial" w:hAnsi="Arial" w:cs="Arial"/>
          <w:b/>
          <w:bCs/>
          <w:sz w:val="24"/>
          <w:szCs w:val="24"/>
        </w:rPr>
        <w:t xml:space="preserve"> </w:t>
      </w:r>
      <w:r w:rsidR="006F5D4E">
        <w:rPr>
          <w:rFonts w:ascii="Arial" w:hAnsi="Arial" w:cs="Arial"/>
          <w:b/>
          <w:bCs/>
          <w:sz w:val="24"/>
          <w:szCs w:val="24"/>
        </w:rPr>
        <w:t>en función de los requerimientos</w:t>
      </w:r>
    </w:p>
    <w:p w14:paraId="039F7869" w14:textId="2ACE3AA0" w:rsidR="00D543EA" w:rsidRDefault="00D543EA" w:rsidP="00D543EA">
      <w:pPr>
        <w:rPr>
          <w:rFonts w:ascii="Arial" w:hAnsi="Arial" w:cs="Arial"/>
          <w:sz w:val="24"/>
          <w:szCs w:val="24"/>
        </w:rPr>
      </w:pPr>
      <w:r w:rsidRPr="00D543EA">
        <w:rPr>
          <w:rFonts w:ascii="Arial" w:hAnsi="Arial" w:cs="Arial"/>
          <w:sz w:val="24"/>
          <w:szCs w:val="24"/>
        </w:rPr>
        <w:t>Los requerimientos poseen diferentes maneras de abarcarlos, por esto, el equipo debe tomar decisiones oportunas para satisfacer las necesidades de negocio externadas, en este caso, por medio de la especificación de proyecto. En este apartado se explica cómo se procede para abarca run requerimientos que resultó completo en su implementación y algunos que necesitaron de diferentes decisiones en equipo.</w:t>
      </w:r>
    </w:p>
    <w:p w14:paraId="44ABC658" w14:textId="77777777" w:rsidR="006F5D4E" w:rsidRPr="00D543EA" w:rsidRDefault="006F5D4E" w:rsidP="00D543EA">
      <w:pPr>
        <w:rPr>
          <w:rFonts w:ascii="Arial" w:hAnsi="Arial" w:cs="Arial"/>
          <w:sz w:val="24"/>
          <w:szCs w:val="24"/>
        </w:rPr>
      </w:pPr>
    </w:p>
    <w:tbl>
      <w:tblPr>
        <w:tblStyle w:val="Tablaconcuadrcula"/>
        <w:tblW w:w="0" w:type="auto"/>
        <w:tblLook w:val="04A0" w:firstRow="1" w:lastRow="0" w:firstColumn="1" w:lastColumn="0" w:noHBand="0" w:noVBand="1"/>
      </w:tblPr>
      <w:tblGrid>
        <w:gridCol w:w="5033"/>
        <w:gridCol w:w="5037"/>
      </w:tblGrid>
      <w:tr w:rsidR="00253B3E" w14:paraId="45E3FEE0" w14:textId="77777777" w:rsidTr="00253B3E">
        <w:tc>
          <w:tcPr>
            <w:tcW w:w="5395" w:type="dxa"/>
          </w:tcPr>
          <w:p w14:paraId="682B81BE" w14:textId="42CAE90E" w:rsidR="00253B3E" w:rsidRPr="00F71F16" w:rsidRDefault="00F71F16" w:rsidP="00D543EA">
            <w:pPr>
              <w:rPr>
                <w:rFonts w:ascii="Arial" w:hAnsi="Arial" w:cs="Arial"/>
                <w:b/>
                <w:bCs/>
                <w:sz w:val="24"/>
                <w:szCs w:val="24"/>
              </w:rPr>
            </w:pPr>
            <w:r w:rsidRPr="00F71F16">
              <w:rPr>
                <w:rFonts w:ascii="Arial" w:hAnsi="Arial" w:cs="Arial"/>
                <w:b/>
                <w:bCs/>
                <w:sz w:val="24"/>
                <w:szCs w:val="24"/>
              </w:rPr>
              <w:t>Numero de requerimientos</w:t>
            </w:r>
          </w:p>
        </w:tc>
        <w:tc>
          <w:tcPr>
            <w:tcW w:w="5395" w:type="dxa"/>
          </w:tcPr>
          <w:p w14:paraId="681D44C4" w14:textId="427C61B7" w:rsidR="00253B3E" w:rsidRPr="00F71F16" w:rsidRDefault="00F71F16" w:rsidP="00D543EA">
            <w:pPr>
              <w:rPr>
                <w:rFonts w:ascii="Arial" w:hAnsi="Arial" w:cs="Arial"/>
                <w:b/>
                <w:bCs/>
                <w:sz w:val="24"/>
                <w:szCs w:val="24"/>
              </w:rPr>
            </w:pPr>
            <w:r w:rsidRPr="00F71F16">
              <w:rPr>
                <w:rFonts w:ascii="Arial" w:hAnsi="Arial" w:cs="Arial"/>
                <w:b/>
                <w:bCs/>
                <w:sz w:val="24"/>
                <w:szCs w:val="24"/>
              </w:rPr>
              <w:t>Decisión respectiva por parte del equipo</w:t>
            </w:r>
          </w:p>
        </w:tc>
      </w:tr>
      <w:tr w:rsidR="00253B3E" w14:paraId="39D50513" w14:textId="77777777" w:rsidTr="00253B3E">
        <w:tc>
          <w:tcPr>
            <w:tcW w:w="5395" w:type="dxa"/>
          </w:tcPr>
          <w:p w14:paraId="56B5B1E3" w14:textId="6B252C67" w:rsidR="00253B3E" w:rsidRPr="00F71F16" w:rsidRDefault="00F71F16" w:rsidP="00D543EA">
            <w:pPr>
              <w:rPr>
                <w:rFonts w:ascii="Arial" w:hAnsi="Arial" w:cs="Arial"/>
              </w:rPr>
            </w:pPr>
            <w:r w:rsidRPr="00F71F16">
              <w:rPr>
                <w:rFonts w:ascii="Arial" w:hAnsi="Arial" w:cs="Arial"/>
                <w:sz w:val="24"/>
                <w:szCs w:val="24"/>
              </w:rPr>
              <w:t>Req-01</w:t>
            </w:r>
            <w:r>
              <w:rPr>
                <w:rFonts w:ascii="Arial" w:hAnsi="Arial" w:cs="Arial"/>
                <w:sz w:val="24"/>
                <w:szCs w:val="24"/>
              </w:rPr>
              <w:t>8</w:t>
            </w:r>
          </w:p>
        </w:tc>
        <w:tc>
          <w:tcPr>
            <w:tcW w:w="5395" w:type="dxa"/>
          </w:tcPr>
          <w:p w14:paraId="13763B7E" w14:textId="17E0002A" w:rsidR="00253B3E" w:rsidRDefault="00F71F16" w:rsidP="00D543EA">
            <w:r>
              <w:t xml:space="preserve">Para asegurar la extensión se funcionabilidades se cumplen con los principios SOLID, con acciones como asegurar que las jerarquías presentes cumplan O.C.P. también se utiliza el patrón creacional simple </w:t>
            </w:r>
            <w:proofErr w:type="spellStart"/>
            <w:r>
              <w:t>factory</w:t>
            </w:r>
            <w:proofErr w:type="spellEnd"/>
            <w:r>
              <w:t xml:space="preserve"> para asegurar este cumplimiento.</w:t>
            </w:r>
          </w:p>
        </w:tc>
      </w:tr>
      <w:tr w:rsidR="00253B3E" w14:paraId="07AFC316" w14:textId="77777777" w:rsidTr="00253B3E">
        <w:tc>
          <w:tcPr>
            <w:tcW w:w="5395" w:type="dxa"/>
          </w:tcPr>
          <w:p w14:paraId="3C307B80" w14:textId="6F14EC36" w:rsidR="00253B3E" w:rsidRDefault="00F71F16" w:rsidP="00D543EA">
            <w:r>
              <w:rPr>
                <w:rFonts w:ascii="ArialMT" w:hAnsi="ArialMT" w:cs="ArialMT"/>
                <w:sz w:val="24"/>
                <w:szCs w:val="24"/>
              </w:rPr>
              <w:t>Req-020</w:t>
            </w:r>
          </w:p>
        </w:tc>
        <w:tc>
          <w:tcPr>
            <w:tcW w:w="5395" w:type="dxa"/>
          </w:tcPr>
          <w:p w14:paraId="2AFEAFEC" w14:textId="3D989DD5" w:rsidR="00253B3E" w:rsidRDefault="00F71F16" w:rsidP="00D543EA">
            <w:r>
              <w:t xml:space="preserve">La decisión por parte del equipo fue implementar </w:t>
            </w:r>
            <w:r w:rsidR="006F5D4E">
              <w:t xml:space="preserve">los servicios </w:t>
            </w:r>
            <w:proofErr w:type="spellStart"/>
            <w:r>
              <w:t>ToneAnalyzer</w:t>
            </w:r>
            <w:proofErr w:type="spellEnd"/>
            <w:r>
              <w:t xml:space="preserve"> de IBM, que a su vez necesita el </w:t>
            </w:r>
            <w:proofErr w:type="spellStart"/>
            <w:r>
              <w:t>LanguageTranslator</w:t>
            </w:r>
            <w:proofErr w:type="spellEnd"/>
            <w:r>
              <w:t xml:space="preserve"> para que el análisis de sentimientos se realice en español.</w:t>
            </w:r>
          </w:p>
        </w:tc>
      </w:tr>
      <w:tr w:rsidR="00253B3E" w14:paraId="6438B445" w14:textId="77777777" w:rsidTr="00253B3E">
        <w:tc>
          <w:tcPr>
            <w:tcW w:w="5395" w:type="dxa"/>
          </w:tcPr>
          <w:p w14:paraId="7CDBC801" w14:textId="4CEE84B1" w:rsidR="00253B3E" w:rsidRDefault="00F71F16" w:rsidP="00D543EA">
            <w:r>
              <w:rPr>
                <w:rFonts w:ascii="ArialMT" w:hAnsi="ArialMT" w:cs="ArialMT"/>
                <w:sz w:val="24"/>
                <w:szCs w:val="24"/>
              </w:rPr>
              <w:t>Req-021</w:t>
            </w:r>
          </w:p>
        </w:tc>
        <w:tc>
          <w:tcPr>
            <w:tcW w:w="5395" w:type="dxa"/>
          </w:tcPr>
          <w:p w14:paraId="1694C43A" w14:textId="3A205CB9" w:rsidR="00253B3E" w:rsidRDefault="00F71F16" w:rsidP="00D543EA">
            <w:r>
              <w:t>Para cumplir con este requerimiento, el equipo decide mostrarle el siguiente mensaje “No se permiten expresiones de odio”.</w:t>
            </w:r>
          </w:p>
        </w:tc>
      </w:tr>
      <w:tr w:rsidR="00253B3E" w14:paraId="12258170" w14:textId="77777777" w:rsidTr="00253B3E">
        <w:tc>
          <w:tcPr>
            <w:tcW w:w="5395" w:type="dxa"/>
          </w:tcPr>
          <w:p w14:paraId="6E6894AE" w14:textId="29FAD53B" w:rsidR="00253B3E" w:rsidRDefault="00F71F16" w:rsidP="00D543EA">
            <w:r>
              <w:rPr>
                <w:rFonts w:ascii="ArialMT" w:hAnsi="ArialMT" w:cs="ArialMT"/>
                <w:sz w:val="24"/>
                <w:szCs w:val="24"/>
              </w:rPr>
              <w:t>Req-022</w:t>
            </w:r>
          </w:p>
        </w:tc>
        <w:tc>
          <w:tcPr>
            <w:tcW w:w="5395" w:type="dxa"/>
          </w:tcPr>
          <w:p w14:paraId="3D1CBA57" w14:textId="51D1D105" w:rsidR="00253B3E" w:rsidRDefault="00F71F16" w:rsidP="00D543EA">
            <w:r>
              <w:t>En cuanto a este requerimiento, ya que era necesario almacenarlo en memoria secundaria, para evitar complejidad en cuanto a los archivos, se decide realizar uno solo por cada tipo de fuente, que almacene todas las operaciones.</w:t>
            </w:r>
          </w:p>
        </w:tc>
      </w:tr>
      <w:tr w:rsidR="00253B3E" w14:paraId="2951B745" w14:textId="77777777" w:rsidTr="00253B3E">
        <w:tc>
          <w:tcPr>
            <w:tcW w:w="5395" w:type="dxa"/>
          </w:tcPr>
          <w:p w14:paraId="43E35365" w14:textId="4D21D732" w:rsidR="00253B3E" w:rsidRDefault="006F5D4E" w:rsidP="00D543EA">
            <w:r>
              <w:rPr>
                <w:rFonts w:ascii="ArialMT" w:hAnsi="ArialMT" w:cs="ArialMT"/>
                <w:sz w:val="24"/>
                <w:szCs w:val="24"/>
              </w:rPr>
              <w:t>Req-024</w:t>
            </w:r>
          </w:p>
        </w:tc>
        <w:tc>
          <w:tcPr>
            <w:tcW w:w="5395" w:type="dxa"/>
          </w:tcPr>
          <w:p w14:paraId="03031BE4" w14:textId="0EA1E509" w:rsidR="00253B3E" w:rsidRDefault="006F5D4E" w:rsidP="00D543EA">
            <w:r>
              <w:t>Se decide mantener los atributos mínimos y no agregar más para evitar la complejidad del administrador para leer los registros completos.</w:t>
            </w:r>
          </w:p>
        </w:tc>
      </w:tr>
      <w:tr w:rsidR="00253B3E" w14:paraId="2D8CB164" w14:textId="77777777" w:rsidTr="00253B3E">
        <w:tc>
          <w:tcPr>
            <w:tcW w:w="5395" w:type="dxa"/>
          </w:tcPr>
          <w:p w14:paraId="3EF0A9CF" w14:textId="6245450D" w:rsidR="00253B3E" w:rsidRDefault="006F5D4E" w:rsidP="00D543EA">
            <w:r>
              <w:rPr>
                <w:rFonts w:ascii="ArialMT" w:hAnsi="ArialMT" w:cs="ArialMT"/>
                <w:sz w:val="24"/>
                <w:szCs w:val="24"/>
              </w:rPr>
              <w:t>Req-027</w:t>
            </w:r>
          </w:p>
        </w:tc>
        <w:tc>
          <w:tcPr>
            <w:tcW w:w="5395" w:type="dxa"/>
          </w:tcPr>
          <w:p w14:paraId="31AF4F94" w14:textId="1E809B22" w:rsidR="00253B3E" w:rsidRDefault="006F5D4E" w:rsidP="00D543EA">
            <w:r>
              <w:t>El proceso de inicio de cesión del administrador se implementa por medio del mismo diálogo, ya que si este administrador desea realizar una codificación y descodificación la puede realizar en cualquier momento.</w:t>
            </w:r>
          </w:p>
        </w:tc>
      </w:tr>
      <w:tr w:rsidR="00253B3E" w14:paraId="27CC6FB0" w14:textId="77777777" w:rsidTr="00253B3E">
        <w:tc>
          <w:tcPr>
            <w:tcW w:w="5395" w:type="dxa"/>
          </w:tcPr>
          <w:p w14:paraId="097E0DE4" w14:textId="23CB7389" w:rsidR="00253B3E" w:rsidRDefault="006F5D4E" w:rsidP="00D543EA">
            <w:r>
              <w:rPr>
                <w:rFonts w:ascii="ArialMT" w:hAnsi="ArialMT" w:cs="ArialMT"/>
                <w:sz w:val="24"/>
                <w:szCs w:val="24"/>
              </w:rPr>
              <w:t>Req-027</w:t>
            </w:r>
          </w:p>
        </w:tc>
        <w:tc>
          <w:tcPr>
            <w:tcW w:w="5395" w:type="dxa"/>
          </w:tcPr>
          <w:p w14:paraId="43E79F06" w14:textId="40446201" w:rsidR="00253B3E" w:rsidRDefault="006F5D4E" w:rsidP="00D543EA">
            <w:r>
              <w:t xml:space="preserve">El usuario administrador se agrega como un atributo de la clase </w:t>
            </w:r>
            <w:proofErr w:type="spellStart"/>
            <w:r>
              <w:t>ChatService</w:t>
            </w:r>
            <w:proofErr w:type="spellEnd"/>
            <w:r>
              <w:t xml:space="preserve"> y tiene un valor por defecto de usuario: Daniel y contraseña: 123.</w:t>
            </w:r>
          </w:p>
        </w:tc>
      </w:tr>
    </w:tbl>
    <w:p w14:paraId="03F0680C" w14:textId="77777777" w:rsidR="00D543EA" w:rsidRDefault="00D543EA" w:rsidP="00D543EA"/>
    <w:p w14:paraId="46DF1061" w14:textId="77777777" w:rsidR="00D543EA" w:rsidRDefault="00D543EA" w:rsidP="00D543EA"/>
    <w:sectPr w:rsidR="00D543EA" w:rsidSect="006F5D4E">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20972"/>
    <w:multiLevelType w:val="hybridMultilevel"/>
    <w:tmpl w:val="212875E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3EA"/>
    <w:rsid w:val="00253B3E"/>
    <w:rsid w:val="006F5D4E"/>
    <w:rsid w:val="008E77BE"/>
    <w:rsid w:val="00D543EA"/>
    <w:rsid w:val="00F71F16"/>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F726A"/>
  <w15:chartTrackingRefBased/>
  <w15:docId w15:val="{8B24B488-6A26-44C9-9B6B-C8000ECC5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543EA"/>
    <w:pPr>
      <w:ind w:left="720"/>
      <w:contextualSpacing/>
    </w:pPr>
  </w:style>
  <w:style w:type="table" w:styleId="Tablaconcuadrcula">
    <w:name w:val="Table Grid"/>
    <w:basedOn w:val="Tablanormal"/>
    <w:uiPriority w:val="39"/>
    <w:rsid w:val="00253B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286</Words>
  <Characters>1578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Quirós Picado</dc:creator>
  <cp:keywords/>
  <dc:description/>
  <cp:lastModifiedBy>Daniel Quirós Picado</cp:lastModifiedBy>
  <cp:revision>1</cp:revision>
  <dcterms:created xsi:type="dcterms:W3CDTF">2020-07-25T22:19:00Z</dcterms:created>
  <dcterms:modified xsi:type="dcterms:W3CDTF">2020-07-25T23:19:00Z</dcterms:modified>
</cp:coreProperties>
</file>