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d47003ddc6d1fffe3df53a70df36d1596c6ab7b"/>
    <w:p>
      <w:pPr>
        <w:pStyle w:val="Heading1"/>
      </w:pPr>
      <w:r>
        <w:t xml:space="preserve">Catálogo Erasmus+ 2026 — Resumen de convocatorias y presupuestos máximos</w:t>
      </w:r>
    </w:p>
    <w:p>
      <w:pPr>
        <w:pStyle w:val="FirstParagraph"/>
      </w:pPr>
      <w:r>
        <w:rPr>
          <w:i/>
          <w:iCs/>
        </w:rPr>
        <w:t xml:space="preserve">Generado: 2026-06-03 · Fuente: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data/erasmus_plus_2026_calls.*</w:t>
      </w:r>
      <w:r>
        <w:rPr>
          <w:i/>
          <w:iCs/>
        </w:rPr>
        <w:t xml:space="preserve"> </w:t>
      </w:r>
      <w:r>
        <w:rPr>
          <w:i/>
          <w:iCs/>
        </w:rPr>
        <w:t xml:space="preserve">(Programme Guide 2026, 12/11/2025 + EU Funding &amp; Tenders Portal)</w:t>
      </w:r>
    </w:p>
    <w:p>
      <w:pPr>
        <w:pStyle w:val="BlockText"/>
      </w:pPr>
      <w:r>
        <w:rPr>
          <w:b/>
          <w:bCs/>
        </w:rPr>
        <w:t xml:space="preserve">Aclaración de lectura:</w:t>
      </w:r>
      <w:r>
        <w:t xml:space="preserve"> </w:t>
      </w:r>
      <w:r>
        <w:t xml:space="preserve">el</w:t>
      </w:r>
      <w:r>
        <w:t xml:space="preserve"> </w:t>
      </w:r>
      <w:r>
        <w:t xml:space="preserve">“presupuesto máximo”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máximo de subvención UE</w:t>
      </w:r>
      <w:r>
        <w:t xml:space="preserve"> </w:t>
      </w:r>
      <w:r>
        <w:t xml:space="preserve">(lo que se pide). El coste total del proyecto siempre es mayor por el cofinanciamiento (80%/90%) o porque en los lump sum se espera que el coste real supere la cantidad pedida.</w:t>
      </w:r>
    </w:p>
    <w:p>
      <w:r>
        <w:pict>
          <v:rect style="width:0;height:1.5pt" o:hralign="center" o:hrstd="t" o:hr="t"/>
        </w:pict>
      </w:r>
    </w:p>
    <w:bookmarkStart w:id="9" w:name="capacity-building-4-sublíneas"/>
    <w:p>
      <w:pPr>
        <w:pStyle w:val="Heading2"/>
      </w:pPr>
      <w:r>
        <w:t xml:space="preserve">1) CAPACITY BUILDING (4 sublíneas)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Sublínea</w:t>
            </w:r>
          </w:p>
        </w:tc>
        <w:tc>
          <w:tcPr/>
          <w:p>
            <w:pPr>
              <w:pStyle w:val="Compact"/>
            </w:pPr>
            <w:r>
              <w:t xml:space="preserve">Código (Topic ID)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% UE</w:t>
            </w:r>
          </w:p>
        </w:tc>
        <w:tc>
          <w:tcPr/>
          <w:p>
            <w:pPr>
              <w:pStyle w:val="Compact"/>
            </w:pPr>
            <w:r>
              <w:t xml:space="preserve">Importes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Máximo UE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 Higher Education (CBHE)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ERASMUS-EDU-2026-CBHE-*</w:t>
            </w:r>
            <w:r>
              <w:t xml:space="preserve"> </w:t>
            </w:r>
            <w:r>
              <w:t xml:space="preserve">(11 regiones + Cross-Regional)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Strand 1: 200k–400k · Strand 2: 400k–800k · Strand 3: 600k–1M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1.000.000 €</w:t>
            </w:r>
            <w:r>
              <w:t xml:space="preserve"> </w:t>
            </w:r>
            <w:r>
              <w:t xml:space="preserve">(especial EU-Moldova: 2M)</w:t>
            </w:r>
          </w:p>
        </w:tc>
        <w:tc>
          <w:tcPr/>
          <w:p>
            <w:pPr>
              <w:pStyle w:val="Compact"/>
            </w:pPr>
            <w:r>
              <w:t xml:space="preserve">24–48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 VET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ERASMUS-EDU-2026-CB-VET-*</w:t>
            </w:r>
            <w:r>
              <w:t xml:space="preserve"> </w:t>
            </w:r>
            <w:r>
              <w:t xml:space="preserve">(6 regiones)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sin mínimo, hasta tope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500.000 €</w:t>
            </w:r>
          </w:p>
        </w:tc>
        <w:tc>
          <w:tcPr/>
          <w:p>
            <w:pPr>
              <w:pStyle w:val="Compact"/>
            </w:pPr>
            <w:r>
              <w:t xml:space="preserve">36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 Youth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ERASMUS-YOUTH-2026-CB-*</w:t>
            </w:r>
            <w:r>
              <w:t xml:space="preserve"> </w:t>
            </w:r>
            <w:r>
              <w:t xml:space="preserve">(4 regiones)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hasta tope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300.000 €</w:t>
            </w:r>
            <w:r>
              <w:t xml:space="preserve"> </w:t>
            </w:r>
            <w:r>
              <w:t xml:space="preserve">(450k para Sub-Sahara)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 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ERASMUS-SPORT-2026-CB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rango 100k–200k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200.000 €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Códigos CBHE por región</w:t>
      </w:r>
      <w:r>
        <w:t xml:space="preserve"> </w:t>
      </w:r>
      <w:r>
        <w:t xml:space="preserve">(todos misma estructura de 3 strands, 90%):</w:t>
      </w:r>
      <w:r>
        <w:t xml:space="preserve"> </w:t>
      </w:r>
      <w:r>
        <w:rPr>
          <w:rStyle w:val="VerbatimChar"/>
        </w:rPr>
        <w:t xml:space="preserve">-WB</w:t>
      </w:r>
      <w:r>
        <w:t xml:space="preserve"> </w:t>
      </w:r>
      <w:r>
        <w:t xml:space="preserve">(Balcanes),</w:t>
      </w:r>
      <w:r>
        <w:t xml:space="preserve"> </w:t>
      </w:r>
      <w:r>
        <w:rPr>
          <w:rStyle w:val="VerbatimChar"/>
        </w:rPr>
        <w:t xml:space="preserve">-NE</w:t>
      </w:r>
      <w:r>
        <w:t xml:space="preserve"> </w:t>
      </w:r>
      <w:r>
        <w:t xml:space="preserve">(Vecindad Este),</w:t>
      </w:r>
      <w:r>
        <w:t xml:space="preserve"> </w:t>
      </w:r>
      <w:r>
        <w:rPr>
          <w:rStyle w:val="VerbatimChar"/>
        </w:rPr>
        <w:t xml:space="preserve">-SMC</w:t>
      </w:r>
      <w:r>
        <w:t xml:space="preserve"> </w:t>
      </w:r>
      <w:r>
        <w:t xml:space="preserve">(Sur-Mediterráneo),</w:t>
      </w:r>
      <w:r>
        <w:t xml:space="preserve"> </w:t>
      </w:r>
      <w:r>
        <w:rPr>
          <w:rStyle w:val="VerbatimChar"/>
        </w:rPr>
        <w:t xml:space="preserve">-ASIA</w:t>
      </w:r>
      <w:r>
        <w:t xml:space="preserve">,</w:t>
      </w:r>
      <w:r>
        <w:t xml:space="preserve"> </w:t>
      </w:r>
      <w:r>
        <w:rPr>
          <w:rStyle w:val="VerbatimChar"/>
        </w:rPr>
        <w:t xml:space="preserve">-CA</w:t>
      </w:r>
      <w:r>
        <w:t xml:space="preserve"> </w:t>
      </w:r>
      <w:r>
        <w:t xml:space="preserve">(Asia Central),</w:t>
      </w:r>
      <w:r>
        <w:t xml:space="preserve"> </w:t>
      </w:r>
      <w:r>
        <w:rPr>
          <w:rStyle w:val="VerbatimChar"/>
        </w:rPr>
        <w:t xml:space="preserve">-ME</w:t>
      </w:r>
      <w:r>
        <w:t xml:space="preserve"> </w:t>
      </w:r>
      <w:r>
        <w:t xml:space="preserve">(Oriente Medio),</w:t>
      </w:r>
      <w:r>
        <w:t xml:space="preserve"> </w:t>
      </w:r>
      <w:r>
        <w:rPr>
          <w:rStyle w:val="VerbatimChar"/>
        </w:rPr>
        <w:t xml:space="preserve">-PAC</w:t>
      </w:r>
      <w:r>
        <w:t xml:space="preserve"> </w:t>
      </w:r>
      <w:r>
        <w:t xml:space="preserve">(Pacífico),</w:t>
      </w:r>
      <w:r>
        <w:t xml:space="preserve"> </w:t>
      </w:r>
      <w:r>
        <w:rPr>
          <w:rStyle w:val="VerbatimChar"/>
        </w:rPr>
        <w:t xml:space="preserve">-SSA</w:t>
      </w:r>
      <w:r>
        <w:t xml:space="preserve"> </w:t>
      </w:r>
      <w:r>
        <w:t xml:space="preserve">(África Subsahariana),</w:t>
      </w:r>
      <w:r>
        <w:t xml:space="preserve"> </w:t>
      </w:r>
      <w:r>
        <w:rPr>
          <w:rStyle w:val="VerbatimChar"/>
        </w:rPr>
        <w:t xml:space="preserve">-LA</w:t>
      </w:r>
      <w:r>
        <w:t xml:space="preserve"> </w:t>
      </w:r>
      <w:r>
        <w:t xml:space="preserve">(Latinoamérica),</w:t>
      </w:r>
      <w:r>
        <w:t xml:space="preserve"> </w:t>
      </w:r>
      <w:r>
        <w:rPr>
          <w:rStyle w:val="VerbatimChar"/>
        </w:rPr>
        <w:t xml:space="preserve">-CARIB</w:t>
      </w:r>
      <w:r>
        <w:t xml:space="preserve"> </w:t>
      </w:r>
      <w:r>
        <w:t xml:space="preserve">(Caribe) + Cross-Regional.</w:t>
      </w:r>
      <w:r>
        <w:t xml:space="preserve"> </w:t>
      </w:r>
      <w:r>
        <w:rPr>
          <w:i/>
          <w:iCs/>
        </w:rPr>
        <w:t xml:space="preserve">(El especial EU-Moldova Master’s, 2M, va dentro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-NE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Códigos CB VET (6):</w:t>
      </w:r>
      <w:r>
        <w:t xml:space="preserve"> </w:t>
      </w:r>
      <w:r>
        <w:rPr>
          <w:rStyle w:val="VerbatimChar"/>
        </w:rPr>
        <w:t xml:space="preserve">-WB</w:t>
      </w:r>
      <w:r>
        <w:t xml:space="preserve">,</w:t>
      </w:r>
      <w:r>
        <w:t xml:space="preserve"> </w:t>
      </w:r>
      <w:r>
        <w:rPr>
          <w:rStyle w:val="VerbatimChar"/>
        </w:rPr>
        <w:t xml:space="preserve">-NE</w:t>
      </w:r>
      <w:r>
        <w:t xml:space="preserve">,</w:t>
      </w:r>
      <w:r>
        <w:t xml:space="preserve"> </w:t>
      </w:r>
      <w:r>
        <w:rPr>
          <w:rStyle w:val="VerbatimChar"/>
        </w:rPr>
        <w:t xml:space="preserve">-SMC</w:t>
      </w:r>
      <w:r>
        <w:t xml:space="preserve">,</w:t>
      </w:r>
      <w:r>
        <w:t xml:space="preserve"> </w:t>
      </w:r>
      <w:r>
        <w:rPr>
          <w:rStyle w:val="VerbatimChar"/>
        </w:rPr>
        <w:t xml:space="preserve">-SSA</w:t>
      </w:r>
      <w:r>
        <w:t xml:space="preserve">,</w:t>
      </w:r>
      <w:r>
        <w:t xml:space="preserve"> </w:t>
      </w:r>
      <w:r>
        <w:rPr>
          <w:rStyle w:val="VerbatimChar"/>
        </w:rPr>
        <w:t xml:space="preserve">-LA</w:t>
      </w:r>
      <w:r>
        <w:t xml:space="preserve">,</w:t>
      </w:r>
      <w:r>
        <w:t xml:space="preserve"> </w:t>
      </w:r>
      <w:r>
        <w:rPr>
          <w:rStyle w:val="VerbatimChar"/>
        </w:rPr>
        <w:t xml:space="preserve">-CA</w:t>
      </w:r>
      <w:r>
        <w:t xml:space="preserve"> </w:t>
      </w:r>
      <w:r>
        <w:t xml:space="preserve">— todos 500k.</w:t>
      </w:r>
    </w:p>
    <w:p>
      <w:pPr>
        <w:pStyle w:val="BodyText"/>
      </w:pPr>
      <w:r>
        <w:rPr>
          <w:b/>
          <w:bCs/>
        </w:rPr>
        <w:t xml:space="preserve">Códigos CB Youth (4):</w:t>
      </w:r>
      <w:r>
        <w:t xml:space="preserve"> </w:t>
      </w:r>
      <w:r>
        <w:rPr>
          <w:rStyle w:val="VerbatimChar"/>
        </w:rPr>
        <w:t xml:space="preserve">-WB</w:t>
      </w:r>
      <w:r>
        <w:t xml:space="preserve">,</w:t>
      </w:r>
      <w:r>
        <w:t xml:space="preserve"> </w:t>
      </w:r>
      <w:r>
        <w:rPr>
          <w:rStyle w:val="VerbatimChar"/>
        </w:rPr>
        <w:t xml:space="preserve">-NE</w:t>
      </w:r>
      <w:r>
        <w:t xml:space="preserve">,</w:t>
      </w:r>
      <w:r>
        <w:t xml:space="preserve"> </w:t>
      </w:r>
      <w:r>
        <w:rPr>
          <w:rStyle w:val="VerbatimChar"/>
        </w:rPr>
        <w:t xml:space="preserve">-SMC</w:t>
      </w:r>
      <w:r>
        <w:t xml:space="preserve"> </w:t>
      </w:r>
      <w:r>
        <w:t xml:space="preserve">(300k) y</w:t>
      </w:r>
      <w:r>
        <w:t xml:space="preserve"> </w:t>
      </w:r>
      <w:r>
        <w:rPr>
          <w:rStyle w:val="VerbatimChar"/>
        </w:rPr>
        <w:t xml:space="preserve">-SSA</w:t>
      </w:r>
      <w:r>
        <w:t xml:space="preserve"> </w:t>
      </w:r>
      <w:r>
        <w:t xml:space="preserve">(450k).</w:t>
      </w:r>
    </w:p>
    <w:p>
      <w:r>
        <w:pict>
          <v:rect style="width:0;height:1.5pt" o:hralign="center" o:hrstd="t" o:hr="t"/>
        </w:pict>
      </w:r>
    </w:p>
    <w:bookmarkEnd w:id="9"/>
    <w:bookmarkStart w:id="10" w:name="ka3-apoyo-a-la-reforma-de-políticas"/>
    <w:p>
      <w:pPr>
        <w:pStyle w:val="Heading2"/>
      </w:pPr>
      <w:r>
        <w:t xml:space="preserve">2) KA3 (Apoyo a la reforma de políticas)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Sublínea</w:t>
            </w:r>
          </w:p>
        </w:tc>
        <w:tc>
          <w:tcPr/>
          <w:p>
            <w:pPr>
              <w:pStyle w:val="Compact"/>
            </w:pPr>
            <w:r>
              <w:t xml:space="preserve">Código (Topic ID)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% 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Máximo UE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European Youth Together (EYT)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ERASMUS-YOUTH-2026-YOUTH-TOG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500.000 €</w:t>
            </w:r>
          </w:p>
        </w:tc>
        <w:tc>
          <w:tcPr/>
          <w:p>
            <w:pPr>
              <w:pStyle w:val="Compact"/>
            </w:pPr>
            <w:r>
              <w:t xml:space="preserve">24 m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en el catálogo 2026, la única línea KA3</w:t>
      </w:r>
      <w:r>
        <w:rPr>
          <w:i/>
          <w:iCs/>
        </w:rPr>
        <w:t xml:space="preserve"> </w:t>
      </w:r>
      <w:r>
        <w:rPr>
          <w:i/>
          <w:iCs/>
        </w:rPr>
        <w:t xml:space="preserve">“presentable”</w:t>
      </w:r>
      <w:r>
        <w:rPr>
          <w:i/>
          <w:iCs/>
        </w:rPr>
        <w:t xml:space="preserve"> </w:t>
      </w:r>
      <w:r>
        <w:rPr>
          <w:i/>
          <w:iCs/>
        </w:rPr>
        <w:t xml:space="preserve">tipo proyecto es EYT (mín. 5 socios de 5 países). El resto de KA3 son acciones de policy no abiertas como convocatoria de consorcio estándar.</w:t>
      </w:r>
    </w:p>
    <w:p>
      <w:r>
        <w:pict>
          <v:rect style="width:0;height:1.5pt" o:hralign="center" o:hrstd="t" o:hr="t"/>
        </w:pict>
      </w:r>
    </w:p>
    <w:bookmarkEnd w:id="10"/>
    <w:bookmarkStart w:id="11" w:name="sport-5-convocatorias-distintas"/>
    <w:p>
      <w:pPr>
        <w:pStyle w:val="Heading2"/>
      </w:pPr>
      <w:r>
        <w:t xml:space="preserve">3) SPORT (5 convocatorias distintas)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Convocatoria</w:t>
            </w:r>
          </w:p>
        </w:tc>
        <w:tc>
          <w:tcPr/>
          <w:p>
            <w:pPr>
              <w:pStyle w:val="Compact"/>
            </w:pPr>
            <w:r>
              <w:t xml:space="preserve">Código (Topic ID)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Importes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Máximo UE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Small-scale (SSCP)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ERASMUS-SPORT-2026-SSCP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30k / 60k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60.000 €</w:t>
            </w:r>
          </w:p>
        </w:tc>
        <w:tc>
          <w:tcPr/>
          <w:p>
            <w:pPr>
              <w:pStyle w:val="Compact"/>
            </w:pPr>
            <w:r>
              <w:t xml:space="preserve">6–24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Cooperation (SCP)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ERASMUS-SPORT-2026-SCP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120k / 250k / 400k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400.000 €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Sport Events (SNCESE)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ERASMUS-SPORT-2026-SNCESE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200k / 300k / 450k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450.000 €</w:t>
            </w:r>
          </w:p>
        </w:tc>
        <w:tc>
          <w:tcPr/>
          <w:p>
            <w:pPr>
              <w:pStyle w:val="Compact"/>
            </w:pPr>
            <w:r>
              <w:t xml:space="preserve">12–18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Large-Scale Events (LSSNCESE)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ERASMUS-SPORT-2026-LSSNCESE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1M / 1,5M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1.500.000 €</w:t>
            </w:r>
          </w:p>
        </w:tc>
        <w:tc>
          <w:tcPr/>
          <w:p>
            <w:pPr>
              <w:pStyle w:val="Compact"/>
            </w:pPr>
            <w:r>
              <w:t xml:space="preserve">12–18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Building Sport (CB)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ERASMUS-SPORT-2026-CB</w:t>
            </w:r>
          </w:p>
        </w:tc>
        <w:tc>
          <w:tcPr/>
          <w:p>
            <w:pPr>
              <w:pStyle w:val="Compact"/>
            </w:pPr>
            <w:r>
              <w:t xml:space="preserve">EACEA</w:t>
            </w:r>
          </w:p>
        </w:tc>
        <w:tc>
          <w:tcPr/>
          <w:p>
            <w:pPr>
              <w:pStyle w:val="Compact"/>
            </w:pPr>
            <w:r>
              <w:t xml:space="preserve">budget-based 80%</w:t>
            </w:r>
          </w:p>
        </w:tc>
        <w:tc>
          <w:tcPr/>
          <w:p>
            <w:pPr>
              <w:pStyle w:val="Compact"/>
            </w:pPr>
            <w:r>
              <w:t xml:space="preserve">100k–200k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200.000 €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ka2-asociaciones"/>
    <w:p>
      <w:pPr>
        <w:pStyle w:val="Heading2"/>
      </w:pPr>
      <w:r>
        <w:t xml:space="preserve">4) KA2 (Asociaciones)</w:t>
      </w:r>
    </w:p>
    <w:bookmarkStart w:id="12" w:name="X96a1e912080d7b2dbc0c30707774ca0e7950afa"/>
    <w:p>
      <w:pPr>
        <w:pStyle w:val="Heading3"/>
      </w:pPr>
      <w:r>
        <w:t xml:space="preserve">4a) Cooperation Partnerships — KA220 (5 sectores)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Código (Topic ID)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Importes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Máximo UE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KA220-SCH-2026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120k / 250k / 400k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400.000 €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KA220-VET-2026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120k / 250k / 400k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400.000 €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KA220-HED-2026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120k / 250k / 400k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400.000 €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 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KA220-ADU-2026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120k / 250k / 400k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400.000 €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KA220-YOU-2026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120k / 250k / 400k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400.000 €</w:t>
            </w:r>
          </w:p>
        </w:tc>
        <w:tc>
          <w:tcPr/>
          <w:p>
            <w:pPr>
              <w:pStyle w:val="Compact"/>
            </w:pPr>
            <w:r>
              <w:t xml:space="preserve">12–36 m</w:t>
            </w:r>
          </w:p>
        </w:tc>
      </w:tr>
    </w:tbl>
    <w:p>
      <w:pPr>
        <w:pStyle w:val="BodyText"/>
      </w:pPr>
      <w:r>
        <w:rPr>
          <w:i/>
          <w:iCs/>
        </w:rPr>
        <w:t xml:space="preserve">Equivalente centralizado (gestionado por EACEA), mismos importes 120k/250k/400k:</w:t>
      </w:r>
      <w:r>
        <w:t xml:space="preserve"> </w:t>
      </w:r>
      <w:r>
        <w:rPr>
          <w:b/>
          <w:bCs/>
        </w:rPr>
        <w:t xml:space="preserve">European NGOs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ERASMUS-EDU-2026-PCOOP-ENGO</w:t>
      </w:r>
      <w:r>
        <w:t xml:space="preserve"> </w:t>
      </w:r>
      <w:r>
        <w:t xml:space="preserve">(Educación) y</w:t>
      </w:r>
      <w:r>
        <w:t xml:space="preserve"> </w:t>
      </w:r>
      <w:r>
        <w:rPr>
          <w:rStyle w:val="VerbatimChar"/>
        </w:rPr>
        <w:t xml:space="preserve">ERASMUS-YOUTH-2026-PCOOP-ENGO</w:t>
      </w:r>
      <w:r>
        <w:t xml:space="preserve"> </w:t>
      </w:r>
      <w:r>
        <w:t xml:space="preserve">(Juventud).</w:t>
      </w:r>
    </w:p>
    <w:bookmarkEnd w:id="12"/>
    <w:bookmarkStart w:id="13" w:name="X4dcbf1d88bccdc80befccaeb22af33e967fdd3e"/>
    <w:p>
      <w:pPr>
        <w:pStyle w:val="Heading3"/>
      </w:pPr>
      <w:r>
        <w:t xml:space="preserve">4b) Small-scale Partnerships — KA210 (4 sectores)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Código (Topic ID)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Importes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Máximo UE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KA210-SCH-2026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30k / 60k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60.000 €</w:t>
            </w:r>
          </w:p>
        </w:tc>
        <w:tc>
          <w:tcPr/>
          <w:p>
            <w:pPr>
              <w:pStyle w:val="Compact"/>
            </w:pPr>
            <w:r>
              <w:t xml:space="preserve">6–24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KA210-VET-2026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30k / 60k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60.000 €</w:t>
            </w:r>
          </w:p>
        </w:tc>
        <w:tc>
          <w:tcPr/>
          <w:p>
            <w:pPr>
              <w:pStyle w:val="Compact"/>
            </w:pPr>
            <w:r>
              <w:t xml:space="preserve">6–24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 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KA210-ADU-2026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30k / 60k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60.000 €</w:t>
            </w:r>
          </w:p>
        </w:tc>
        <w:tc>
          <w:tcPr/>
          <w:p>
            <w:pPr>
              <w:pStyle w:val="Compact"/>
            </w:pPr>
            <w:r>
              <w:t xml:space="preserve">6–24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KA210-YOU-2026</w:t>
            </w:r>
          </w:p>
        </w:tc>
        <w:tc>
          <w:tcPr/>
          <w:p>
            <w:pPr>
              <w:pStyle w:val="Compact"/>
            </w:pPr>
            <w:r>
              <w:t xml:space="preserve">Agencia Nacional</w:t>
            </w:r>
          </w:p>
        </w:tc>
        <w:tc>
          <w:tcPr/>
          <w:p>
            <w:pPr>
              <w:pStyle w:val="Compact"/>
            </w:pPr>
            <w:r>
              <w:t xml:space="preserve">30k / 60k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60.000 €</w:t>
            </w:r>
          </w:p>
        </w:tc>
        <w:tc>
          <w:tcPr/>
          <w:p>
            <w:pPr>
              <w:pStyle w:val="Compact"/>
            </w:pPr>
            <w:r>
              <w:t xml:space="preserve">6–24 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c2ee158947cc833c6fbec01b7b2d01df0090d1d"/>
    <w:p>
      <w:pPr>
        <w:pStyle w:val="Heading2"/>
      </w:pPr>
      <w:r>
        <w:t xml:space="preserve">Resumen — cuántas convocatorias distintas hay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Nº de convocatorias (Topic IDs)</w:t>
            </w:r>
          </w:p>
        </w:tc>
        <w:tc>
          <w:tcPr/>
          <w:p>
            <w:pPr>
              <w:pStyle w:val="Compact"/>
            </w:pPr>
            <w:r>
              <w:t xml:space="preserve">Rango de máximos 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Building HE (CBHE)</w:t>
            </w:r>
          </w:p>
        </w:tc>
        <w:tc>
          <w:tcPr/>
          <w:p>
            <w:pPr>
              <w:pStyle w:val="Compact"/>
            </w:pPr>
            <w:r>
              <w:t xml:space="preserve">11 regiones + Cross-Regional (~12)</w:t>
            </w:r>
          </w:p>
        </w:tc>
        <w:tc>
          <w:tcPr/>
          <w:p>
            <w:pPr>
              <w:pStyle w:val="Compact"/>
            </w:pPr>
            <w:r>
              <w:t xml:space="preserve">1M (2M Moldova)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Building VET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Building Youth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300k–450k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Building Sport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KA3 (EYT)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 (SSCP/SCP/SNCESE/LSSNCESE)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60k–1,5M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KA220 Cooperation</w:t>
            </w:r>
          </w:p>
        </w:tc>
        <w:tc>
          <w:tcPr/>
          <w:p>
            <w:pPr>
              <w:pStyle w:val="Compact"/>
            </w:pPr>
            <w:r>
              <w:t xml:space="preserve">5 + 2 ENGO</w:t>
            </w:r>
          </w:p>
        </w:tc>
        <w:tc>
          <w:tcPr/>
          <w:p>
            <w:pPr>
              <w:pStyle w:val="Compact"/>
            </w:pPr>
            <w:r>
              <w:t xml:space="preserve">400k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KA210 Small-scale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60k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daeac71c6828c4d242702cf76a168876540d238"/>
    <w:p>
      <w:pPr>
        <w:pStyle w:val="Heading2"/>
      </w:pPr>
      <w:r>
        <w:t xml:space="preserve">Otras líneas del catálogo (fuera del foco pero presentes en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)</w:t>
      </w:r>
    </w:p>
    <w:p>
      <w:pPr>
        <w:pStyle w:val="FirstParagraph"/>
      </w:pPr>
      <w:r>
        <w:t xml:space="preserve">Para contexto, el catálogo 2026 incluye además estas líneas grandes (centralizadas EACEA):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Código (Topic ID)</w:t>
            </w:r>
          </w:p>
        </w:tc>
        <w:tc>
          <w:tcPr/>
          <w:p>
            <w:pPr>
              <w:pStyle w:val="Compact"/>
            </w:pPr>
            <w:r>
              <w:t xml:space="preserve">% 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Máximo UE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EPSD (nueva 2026)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KA240-SCH-2026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400.000 €</w:t>
            </w:r>
          </w:p>
        </w:tc>
        <w:tc>
          <w:tcPr/>
          <w:p>
            <w:pPr>
              <w:pStyle w:val="Compact"/>
            </w:pPr>
            <w:r>
              <w:t xml:space="preserve">36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Alliances for Innovation — Lot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ERASMUS-EDU-2026-PI-ALL-INNO-EDU-ENTERP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1.500.000 €</w:t>
            </w:r>
          </w:p>
        </w:tc>
        <w:tc>
          <w:tcPr/>
          <w:p>
            <w:pPr>
              <w:pStyle w:val="Compact"/>
            </w:pPr>
            <w:r>
              <w:t xml:space="preserve">2–3 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Alliances — Lot 2 (Blueprint)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ERASMUS-EDU-2026-PI-ALL-INNO-BLUEPRINT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4.000.000 €</w:t>
            </w:r>
          </w:p>
        </w:tc>
        <w:tc>
          <w:tcPr/>
          <w:p>
            <w:pPr>
              <w:pStyle w:val="Compact"/>
            </w:pPr>
            <w:r>
              <w:t xml:space="preserve">4 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Alliances — Lot 3 (STEM)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ERASMUS-EDU-2026-PI-ALL-INNO-STEM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1.500.000 €</w:t>
            </w:r>
          </w:p>
        </w:tc>
        <w:tc>
          <w:tcPr/>
          <w:p>
            <w:pPr>
              <w:pStyle w:val="Compact"/>
            </w:pPr>
            <w:r>
              <w:t xml:space="preserve">2 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ERASMUS-EDU-2026-PEX-COVE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4.000.000 €</w:t>
            </w:r>
          </w:p>
        </w:tc>
        <w:tc>
          <w:tcPr/>
          <w:p>
            <w:pPr>
              <w:pStyle w:val="Compact"/>
            </w:pPr>
            <w:r>
              <w:t xml:space="preserve">48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Academies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ERASMUS-EDU-2026-PEX-TEACH-ACA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1.500.000 €</w:t>
            </w:r>
          </w:p>
        </w:tc>
        <w:tc>
          <w:tcPr/>
          <w:p>
            <w:pPr>
              <w:pStyle w:val="Compact"/>
            </w:pPr>
            <w:r>
              <w:t xml:space="preserve">36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Universities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ERASMUS-EDU-2026-EUR-UNIV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~6.400.000 €</w:t>
            </w:r>
          </w:p>
        </w:tc>
        <w:tc>
          <w:tcPr/>
          <w:p>
            <w:pPr>
              <w:pStyle w:val="Compact"/>
            </w:pPr>
            <w:r>
              <w:t xml:space="preserve">24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Erasmus Mundus Joint Masters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ERASMUS-EDU-2026-PEX-EMJM-MOB</w:t>
            </w:r>
          </w:p>
        </w:tc>
        <w:tc>
          <w:tcPr/>
          <w:p>
            <w:pPr>
              <w:pStyle w:val="Compact"/>
            </w:pPr>
            <w:r>
              <w:t xml:space="preserve">mixto</w:t>
            </w:r>
          </w:p>
        </w:tc>
        <w:tc>
          <w:tcPr/>
          <w:p>
            <w:pPr>
              <w:pStyle w:val="Compact"/>
            </w:pPr>
            <w:r>
              <w:t xml:space="preserve">~5.000.000 €</w:t>
            </w:r>
          </w:p>
        </w:tc>
        <w:tc>
          <w:tcPr/>
          <w:p>
            <w:pPr>
              <w:pStyle w:val="Compact"/>
            </w:pPr>
            <w:r>
              <w:t xml:space="preserve">hasta 78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Erasmus Mundus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ERASMUS-EDU-2026-EMJM-DESIGN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55.000 €</w:t>
            </w:r>
          </w:p>
        </w:tc>
        <w:tc>
          <w:tcPr/>
          <w:p>
            <w:pPr>
              <w:pStyle w:val="Compact"/>
            </w:pPr>
            <w:r>
              <w:t xml:space="preserve">15 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fuente-y-fiabilidad"/>
    <w:p>
      <w:pPr>
        <w:pStyle w:val="Heading2"/>
      </w:pPr>
      <w:r>
        <w:t xml:space="preserve">Fuente y fiabilidad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Fuente:</w:t>
      </w:r>
      <w:r>
        <w:t xml:space="preserve"> </w:t>
      </w:r>
      <w:r>
        <w:t xml:space="preserve">Erasmus+ Programme Guide 2026 (12/11/2025) + EU Funding &amp; Tenders Portal (F&amp;TP).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Códigos confirmados por la Comisión/EACEA:</w:t>
      </w:r>
      <w:r>
        <w:t xml:space="preserve"> </w:t>
      </w:r>
      <w:r>
        <w:t xml:space="preserve">CB-VET (6), EYT, todos los Sport (SCP/SSCP/SNCESE/CB), EUR-UNIV, EMJM, PCOOP-ENGO, Alliances Lot 1, CBHE Cross-Regional.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Códigos derivados por continuidad</w:t>
      </w:r>
      <w:r>
        <w:t xml:space="preserve"> </w:t>
      </w:r>
      <w:r>
        <w:t xml:space="preserve">(siguen el patrón 2024→2025→2026 pero</w:t>
      </w:r>
      <w:r>
        <w:t xml:space="preserve"> </w:t>
      </w:r>
      <w:r>
        <w:rPr>
          <w:b/>
          <w:bCs/>
        </w:rPr>
        <w:t xml:space="preserve">conviene verificar en el F&amp;TP antes de uso oficial</w:t>
      </w:r>
      <w:r>
        <w:t xml:space="preserve">): CB Youth por región, CBHE por región, Teacher Academies, CoVE, Blueprint, 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KA210 / KA220 / KA240</w:t>
      </w:r>
      <w:r>
        <w:t xml:space="preserve"> </w:t>
      </w:r>
      <w:r>
        <w:t xml:space="preserve">son descentralizados:</w:t>
      </w:r>
      <w:r>
        <w:t xml:space="preserve"> </w:t>
      </w:r>
      <w:r>
        <w:rPr>
          <w:b/>
          <w:bCs/>
        </w:rPr>
        <w:t xml:space="preserve">no tienen Topic ID en el F&amp;TP</w:t>
      </w:r>
      <w:r>
        <w:t xml:space="preserve">, se presentan en la Agencia Nacional (en España: SEPIE para EDU/VET, INJUVE para Youth, CSD para Sport). El código final del proyecto sigue el patrón</w:t>
      </w:r>
      <w:r>
        <w:t xml:space="preserve"> </w:t>
      </w:r>
      <w:r>
        <w:rPr>
          <w:rStyle w:val="VerbatimChar"/>
        </w:rPr>
        <w:t xml:space="preserve">YYYY-KASECTOR-XXXXXX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deadlines-2026-referencia"/>
    <w:p>
      <w:pPr>
        <w:pStyle w:val="Heading2"/>
      </w:pPr>
      <w:r>
        <w:t xml:space="preserve">Deadlines 2026 (referencia)</w:t>
      </w:r>
    </w:p>
    <w:p>
      <w:pPr>
        <w:pStyle w:val="Compact"/>
        <w:numPr>
          <w:ilvl w:val="0"/>
          <w:numId w:val="1002"/>
        </w:numPr>
      </w:pPr>
      <w:r>
        <w:t xml:space="preserve">CBHE: 10 febrero 2026 (17:00 Bruselas)</w:t>
      </w:r>
    </w:p>
    <w:p>
      <w:pPr>
        <w:pStyle w:val="Compact"/>
        <w:numPr>
          <w:ilvl w:val="0"/>
          <w:numId w:val="1002"/>
        </w:numPr>
      </w:pPr>
      <w:r>
        <w:t xml:space="preserve">CB Youth &amp; EYT: 26 febrero 2026</w:t>
      </w:r>
    </w:p>
    <w:p>
      <w:pPr>
        <w:pStyle w:val="Compact"/>
        <w:numPr>
          <w:ilvl w:val="0"/>
          <w:numId w:val="1002"/>
        </w:numPr>
      </w:pPr>
      <w:r>
        <w:t xml:space="preserve">Sport (SCP / SSCP / SNCESE / CB): 5 marzo 2026</w:t>
      </w:r>
    </w:p>
    <w:p>
      <w:pPr>
        <w:pStyle w:val="Compact"/>
        <w:numPr>
          <w:ilvl w:val="0"/>
          <w:numId w:val="1002"/>
        </w:numPr>
      </w:pPr>
      <w:r>
        <w:t xml:space="preserve">KA210 / KA220 (Agencia Nacional): típicamente 5 marzo 2026</w:t>
      </w:r>
    </w:p>
    <w:p>
      <w:pPr>
        <w:pStyle w:val="Compact"/>
        <w:numPr>
          <w:ilvl w:val="0"/>
          <w:numId w:val="1002"/>
        </w:numPr>
      </w:pPr>
      <w:r>
        <w:t xml:space="preserve">Alliances for Innovation: 10 marzo 2026</w:t>
      </w:r>
    </w:p>
    <w:p>
      <w:pPr>
        <w:pStyle w:val="Compact"/>
        <w:numPr>
          <w:ilvl w:val="0"/>
          <w:numId w:val="1002"/>
        </w:numPr>
      </w:pPr>
      <w:r>
        <w:t xml:space="preserve">CB VET (6 regiones) + Teacher Academies: 26 marzo 2026</w:t>
      </w:r>
    </w:p>
    <w:p>
      <w:pPr>
        <w:pStyle w:val="Compact"/>
        <w:numPr>
          <w:ilvl w:val="0"/>
          <w:numId w:val="1002"/>
        </w:numPr>
      </w:pPr>
      <w:r>
        <w:t xml:space="preserve">EPSD (KA240-SCH): 9 abril 2026</w:t>
      </w:r>
    </w:p>
    <w:p>
      <w:pPr>
        <w:pStyle w:val="Compact"/>
        <w:numPr>
          <w:ilvl w:val="0"/>
          <w:numId w:val="1002"/>
        </w:numPr>
      </w:pPr>
      <w:r>
        <w:t xml:space="preserve">CoVE: 3 septiembre 2026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Verificar siempre la fecha exacta en el call document del F&amp;TP antes de presentar.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2026-06-03T12:11:15Z</dcterms:created>
  <dcterms:modified xsi:type="dcterms:W3CDTF">2026-06-03T12:11:15Z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