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EVALUATION  DANCE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RELEVANCE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proposal is well-aligned with the goals and priorities of Action Volunteering in Sport. It covers a wide scope with suggested activities and anticipated outcomes.</w:t>
      </w:r>
    </w:p>
    <w:p w:rsidR="00000000" w:rsidDel="00000000" w:rsidP="00000000" w:rsidRDefault="00000000" w:rsidRPr="00000000" w14:paraId="00000008">
      <w:pPr>
        <w:jc w:val="both"/>
        <w:rPr>
          <w:color w:val="ff0000"/>
        </w:rPr>
      </w:pPr>
      <w:r w:rsidDel="00000000" w:rsidR="00000000" w:rsidRPr="00000000">
        <w:rPr>
          <w:rtl w:val="0"/>
        </w:rPr>
        <w:t xml:space="preserve">The project is relevant to promoting shared EU values because it targets both direct and indirect groups. The partners' activity areas and the theme of the main sports event also contribute to this relevance. The instruments used for needs analysis are tailored to each partner organisations, including those of the trainees and learners, as well as the needs of the consortium's members. </w:t>
      </w:r>
      <w:r w:rsidDel="00000000" w:rsidR="00000000" w:rsidRPr="00000000">
        <w:rPr>
          <w:color w:val="ff0000"/>
          <w:rtl w:val="0"/>
        </w:rPr>
        <w:t xml:space="preserve">While the objectives have SMART characteristics, some focus on completing specific project tasks and less on improving the target audience or the participating organisations. </w:t>
        <w:br w:type="textWrapping"/>
        <w:t xml:space="preserve">Despite other similar projects carried out by the coordinating organisation, there is no explicit argument about how this project takes over or continues previous initiatives. It is unclear how the project's cross-sectoral approach can be innovative</w:t>
      </w:r>
      <w:r w:rsidDel="00000000" w:rsidR="00000000" w:rsidRPr="00000000">
        <w:rPr>
          <w:rtl w:val="0"/>
        </w:rPr>
        <w:t xml:space="preserve">. The proposal provides general information on the benefits of physical activity on health but </w:t>
      </w:r>
      <w:r w:rsidDel="00000000" w:rsidR="00000000" w:rsidRPr="00000000">
        <w:rPr>
          <w:color w:val="ff0000"/>
          <w:rtl w:val="0"/>
        </w:rPr>
        <w:t xml:space="preserve">insufficient information on how dance activities can promote a healthy lifestyle and how this will be achieved.</w:t>
      </w:r>
    </w:p>
    <w:p w:rsidR="00000000" w:rsidDel="00000000" w:rsidP="00000000" w:rsidRDefault="00000000" w:rsidRPr="00000000" w14:paraId="00000009">
      <w:pPr>
        <w:jc w:val="both"/>
        <w:rPr>
          <w:color w:val="ff0000"/>
        </w:rPr>
      </w:pPr>
      <w:r w:rsidDel="00000000" w:rsidR="00000000" w:rsidRPr="00000000">
        <w:rPr>
          <w:rtl w:val="0"/>
        </w:rPr>
      </w:r>
    </w:p>
    <w:p w:rsidR="00000000" w:rsidDel="00000000" w:rsidP="00000000" w:rsidRDefault="00000000" w:rsidRPr="00000000" w14:paraId="0000000A">
      <w:pPr>
        <w:jc w:val="both"/>
        <w:rPr>
          <w:color w:val="ff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PROJECT DESIGN AND IMPLEMENTATION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color w:val="ff0000"/>
        </w:rPr>
      </w:pPr>
      <w:r w:rsidDel="00000000" w:rsidR="00000000" w:rsidRPr="00000000">
        <w:rPr>
          <w:rtl w:val="0"/>
        </w:rPr>
        <w:t xml:space="preserve">The work plan is well-presented and includes all the necessary stages. The methodology is clear and appropriate, utilising the theory of change method. The proposal includes a risk analysis for potential threats during project execution and outlines corresponding countermeasures. The "Quality Control Manual" is the foundation for quality control activities. It outlines specific quality assurance tasks at various levels, including tracking project stage execution, confirming project performance and goal attainment, and evaluating the budget. The proposal features a strong digital component, incorporating digital tools for team coordination and communication and creating final project deliverables. </w:t>
      </w:r>
      <w:r w:rsidDel="00000000" w:rsidR="00000000" w:rsidRPr="00000000">
        <w:rPr>
          <w:color w:val="ff0000"/>
          <w:rtl w:val="0"/>
        </w:rPr>
        <w:t xml:space="preserve">However</w:t>
      </w:r>
      <w:r w:rsidDel="00000000" w:rsidR="00000000" w:rsidRPr="00000000">
        <w:rPr>
          <w:rtl w:val="0"/>
        </w:rPr>
        <w:t xml:space="preserve">, </w:t>
      </w:r>
      <w:r w:rsidDel="00000000" w:rsidR="00000000" w:rsidRPr="00000000">
        <w:rPr>
          <w:color w:val="ff0000"/>
          <w:rtl w:val="0"/>
        </w:rPr>
        <w:t xml:space="preserve">there is a lack of detail regarding human resources, logistics for running the main sports event, and budget allocation efficiency. </w:t>
        <w:br w:type="textWrapping"/>
        <w:t xml:space="preserve">The roles of learners, trainers, and coordinators are unclear, and there is a lack of clarity on their differences. </w:t>
      </w:r>
      <w:r w:rsidDel="00000000" w:rsidR="00000000" w:rsidRPr="00000000">
        <w:rPr>
          <w:rtl w:val="0"/>
        </w:rPr>
        <w:t xml:space="preserve">While indicators for achievement are mentioned,</w:t>
      </w:r>
      <w:r w:rsidDel="00000000" w:rsidR="00000000" w:rsidRPr="00000000">
        <w:rPr>
          <w:color w:val="ff0000"/>
          <w:rtl w:val="0"/>
        </w:rPr>
        <w:t xml:space="preserve"> they are not associated with well-determined quality standards for each activity/objective. The focus is primarily on running interdisciplinary workshops and less on sporting events.</w:t>
      </w:r>
    </w:p>
    <w:p w:rsidR="00000000" w:rsidDel="00000000" w:rsidP="00000000" w:rsidRDefault="00000000" w:rsidRPr="00000000" w14:paraId="0000000E">
      <w:pPr>
        <w:jc w:val="both"/>
        <w:rPr>
          <w:color w:val="ff000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br w:type="textWrapping"/>
        <w:t xml:space="preserve">PARTNERSHIP AND COOPERATION ARRANGEMENTS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1">
      <w:pPr>
        <w:jc w:val="both"/>
        <w:rPr>
          <w:color w:val="ff0000"/>
        </w:rPr>
      </w:pPr>
      <w:r w:rsidDel="00000000" w:rsidR="00000000" w:rsidRPr="00000000">
        <w:rPr>
          <w:rtl w:val="0"/>
        </w:rPr>
        <w:t xml:space="preserve">The project team comprises experts from each partner and coordinating organisation, with diverse specialisations and backgrounds. The collaboration strategy is based on consensus decision-making, and partners will be effectively integrated into the communication and collaboration process using digital tools and platforms. The project partners have relevant experience promoting physical activity for health. </w:t>
      </w:r>
      <w:r w:rsidDel="00000000" w:rsidR="00000000" w:rsidRPr="00000000">
        <w:rPr>
          <w:color w:val="ff0000"/>
          <w:rtl w:val="0"/>
        </w:rPr>
        <w:t xml:space="preserve">However, the clear connection between health improvements and a holistic approach that includes food, health, and well-being to achieve these improvements is not sufficiently emphasised. The project lacks a specific and clear allocation of activities, such as preparing dance activities by a dance expert. The description of each partner's role is very general and refers to the partners' previous activities. Specific task allocations for all partners are missing.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IMPACT</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project primarily addresses the positive impact on participating organisations in the short term by providing an experience of organising multidisciplinary sporting events to improve social inclusion in health-related activities. The expected project results have the potential to be used outside the organisations participating in the project during and after the project's lifetime through the DANCE+ project website, DANCE+ Booklet, and an official project video. There is a good strategy for disseminating and valorising the project's results both at the level of partners and to other organisations and the public at large, as well as publicly</w:t>
      </w:r>
    </w:p>
    <w:p w:rsidR="00000000" w:rsidDel="00000000" w:rsidP="00000000" w:rsidRDefault="00000000" w:rsidRPr="00000000" w14:paraId="00000016">
      <w:pPr>
        <w:jc w:val="both"/>
        <w:rPr>
          <w:color w:val="ff0000"/>
        </w:rPr>
      </w:pPr>
      <w:r w:rsidDel="00000000" w:rsidR="00000000" w:rsidRPr="00000000">
        <w:rPr>
          <w:rtl w:val="0"/>
        </w:rPr>
        <w:t xml:space="preserve">acknowledging the European Union funding. </w:t>
      </w:r>
      <w:r w:rsidDel="00000000" w:rsidR="00000000" w:rsidRPr="00000000">
        <w:rPr>
          <w:color w:val="ff0000"/>
          <w:rtl w:val="0"/>
        </w:rPr>
        <w:t xml:space="preserve">However, the proposal does not include logical steps to integrate the results into the current activity of the beneficiary organisation or partner organisations despite detailing the project's impact on each category of the target group. The impact indicators inappropriately refer to evaluation methods and tools, and the impact is mostly measured by the participants' feedback. The project's results, both tangible and intangible, are unclear. While the proposal presents how sustainability is ensured throughout the project and after its conclusion, there is no sufficient evidence regarding the financial support of the sustainability activities.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