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0ED" w:rsidRDefault="00AE1330">
      <w:pPr>
        <w:jc w:val="center"/>
      </w:pPr>
      <w:bookmarkStart w:id="0" w:name="_GoBack"/>
      <w:bookmarkEnd w:id="0"/>
      <w:r>
        <w:rPr>
          <w:b/>
          <w:color w:val="1F2D50"/>
          <w:sz w:val="40"/>
        </w:rPr>
        <w:t>Résumé exécutif — Analyse stratégique AfriMarket</w:t>
      </w:r>
    </w:p>
    <w:p w:rsidR="00B330ED" w:rsidRDefault="00AE1330">
      <w:pPr>
        <w:jc w:val="center"/>
      </w:pPr>
      <w:r>
        <w:rPr>
          <w:color w:val="555555"/>
          <w:sz w:val="22"/>
        </w:rPr>
        <w:t>Analyse de 6 mois d'activité commerciale — Data Analyst, Direction Générale</w:t>
      </w:r>
    </w:p>
    <w:p w:rsidR="00B330ED" w:rsidRDefault="00B330ED"/>
    <w:p w:rsidR="00B330ED" w:rsidRDefault="00AE1330">
      <w:pPr>
        <w:pStyle w:val="Titre1"/>
      </w:pPr>
      <w:r>
        <w:rPr>
          <w:color w:val="1F2D50"/>
        </w:rPr>
        <w:t>Contexte et mission</w:t>
      </w:r>
    </w:p>
    <w:p w:rsidR="00B330ED" w:rsidRDefault="00AE1330">
      <w:r>
        <w:t xml:space="preserve">AfriMarket est une entreprise e-commerce panafricaine opérant dans 4 catégories (Électronique, Mode, Beauté, </w:t>
      </w:r>
      <w:r>
        <w:t xml:space="preserve">Maison) sur 8 grandes villes d'Afrique francophone. La direction constatait des variations importantes de chiffre d'affaires, un taux de retour préoccupant, des dépenses marketing élevées et des écarts de performance selon les villes. Cette analyse répond </w:t>
      </w:r>
      <w:r>
        <w:t>à quatre questions stratégiques : quelle catégorie prioriser, où investir géographiquement, quel canal marketing renforcer ou réduire, et comment améliorer la rétention client.</w:t>
      </w:r>
    </w:p>
    <w:p w:rsidR="00B330ED" w:rsidRDefault="00AE1330">
      <w:pPr>
        <w:pStyle w:val="Titre1"/>
      </w:pPr>
      <w:r>
        <w:rPr>
          <w:color w:val="1F2D50"/>
        </w:rPr>
        <w:t>Méthodologie</w:t>
      </w:r>
    </w:p>
    <w:p w:rsidR="00B330ED" w:rsidRDefault="00AE1330">
      <w:r>
        <w:t>Le dataset brut (10 100 commandes) contenait des anomalies signifi</w:t>
      </w:r>
      <w:r>
        <w:t>catives : 100 doublons, 614 remises négatives, 632 prix négatifs, 608 quantités nulles, 799 valeurs de prix extrêmes, ainsi que des incohérences de saisie (ville « Kinshassa » au lieu de « Kinshasa », catégorie « electronique » sans accent/majuscule, statu</w:t>
      </w:r>
      <w:r>
        <w:t>t « retournée » en minuscule). Après nettoyage et normalisation, le dataset exploitable (df_clean) contient 9 400 commandes valides. Hypothèse retenue en l'absence de coût d'achat produit dans les données : une marge brute forfaitaire de 35% du chiffre d'a</w:t>
      </w:r>
      <w:r>
        <w:t>ffaires, à ajuster si un coût matière réel est communiqué.</w:t>
      </w:r>
    </w:p>
    <w:p w:rsidR="00B330ED" w:rsidRDefault="00AE1330">
      <w:pPr>
        <w:pStyle w:val="Titre1"/>
      </w:pPr>
      <w:r>
        <w:rPr>
          <w:color w:val="1F2D50"/>
        </w:rPr>
        <w:t>Performance globale (6 mois)</w:t>
      </w:r>
    </w:p>
    <w:tbl>
      <w:tblPr>
        <w:tblStyle w:val="Grilleclaire-Accent1"/>
        <w:tblW w:w="0" w:type="auto"/>
        <w:tblLook w:val="04A0" w:firstRow="1" w:lastRow="0" w:firstColumn="1" w:lastColumn="0" w:noHBand="0" w:noVBand="1"/>
      </w:tblPr>
      <w:tblGrid>
        <w:gridCol w:w="1987"/>
        <w:gridCol w:w="1987"/>
        <w:gridCol w:w="1987"/>
        <w:gridCol w:w="1987"/>
        <w:gridCol w:w="1987"/>
      </w:tblGrid>
      <w:tr w:rsidR="00B330ED" w:rsidTr="00B33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B330ED" w:rsidRDefault="00AE1330">
            <w:pPr>
              <w:jc w:val="center"/>
            </w:pPr>
            <w:r>
              <w:rPr>
                <w:sz w:val="20"/>
              </w:rPr>
              <w:t>CA total</w:t>
            </w:r>
          </w:p>
        </w:tc>
        <w:tc>
          <w:tcPr>
            <w:tcW w:w="1987" w:type="dxa"/>
          </w:tcPr>
          <w:p w:rsidR="00B330ED" w:rsidRDefault="00AE1330">
            <w:pPr>
              <w:jc w:val="center"/>
              <w:cnfStyle w:val="100000000000" w:firstRow="1" w:lastRow="0" w:firstColumn="0" w:lastColumn="0" w:oddVBand="0" w:evenVBand="0" w:oddHBand="0" w:evenHBand="0" w:firstRowFirstColumn="0" w:firstRowLastColumn="0" w:lastRowFirstColumn="0" w:lastRowLastColumn="0"/>
            </w:pPr>
            <w:r>
              <w:rPr>
                <w:sz w:val="20"/>
              </w:rPr>
              <w:t>Profit net estimé</w:t>
            </w:r>
          </w:p>
        </w:tc>
        <w:tc>
          <w:tcPr>
            <w:tcW w:w="1987" w:type="dxa"/>
          </w:tcPr>
          <w:p w:rsidR="00B330ED" w:rsidRDefault="00AE1330">
            <w:pPr>
              <w:jc w:val="center"/>
              <w:cnfStyle w:val="100000000000" w:firstRow="1" w:lastRow="0" w:firstColumn="0" w:lastColumn="0" w:oddVBand="0" w:evenVBand="0" w:oddHBand="0" w:evenHBand="0" w:firstRowFirstColumn="0" w:firstRowLastColumn="0" w:lastRowFirstColumn="0" w:lastRowLastColumn="0"/>
            </w:pPr>
            <w:r>
              <w:rPr>
                <w:sz w:val="20"/>
              </w:rPr>
              <w:t>Panier moyen</w:t>
            </w:r>
          </w:p>
        </w:tc>
        <w:tc>
          <w:tcPr>
            <w:tcW w:w="1987" w:type="dxa"/>
          </w:tcPr>
          <w:p w:rsidR="00B330ED" w:rsidRDefault="00AE1330">
            <w:pPr>
              <w:jc w:val="center"/>
              <w:cnfStyle w:val="100000000000" w:firstRow="1" w:lastRow="0" w:firstColumn="0" w:lastColumn="0" w:oddVBand="0" w:evenVBand="0" w:oddHBand="0" w:evenHBand="0" w:firstRowFirstColumn="0" w:firstRowLastColumn="0" w:lastRowFirstColumn="0" w:lastRowLastColumn="0"/>
            </w:pPr>
            <w:r>
              <w:rPr>
                <w:sz w:val="20"/>
              </w:rPr>
              <w:t>Taux d'annulation</w:t>
            </w:r>
          </w:p>
        </w:tc>
        <w:tc>
          <w:tcPr>
            <w:tcW w:w="1987" w:type="dxa"/>
          </w:tcPr>
          <w:p w:rsidR="00B330ED" w:rsidRDefault="00AE1330">
            <w:pPr>
              <w:jc w:val="center"/>
              <w:cnfStyle w:val="100000000000" w:firstRow="1" w:lastRow="0" w:firstColumn="0" w:lastColumn="0" w:oddVBand="0" w:evenVBand="0" w:oddHBand="0" w:evenHBand="0" w:firstRowFirstColumn="0" w:firstRowLastColumn="0" w:lastRowFirstColumn="0" w:lastRowLastColumn="0"/>
            </w:pPr>
            <w:r>
              <w:rPr>
                <w:sz w:val="20"/>
              </w:rPr>
              <w:t>Taux de retour</w:t>
            </w:r>
          </w:p>
        </w:tc>
      </w:tr>
      <w:tr w:rsidR="00B330ED" w:rsidTr="00B33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B330ED" w:rsidRDefault="00AE1330">
            <w:pPr>
              <w:jc w:val="center"/>
            </w:pPr>
            <w:r>
              <w:rPr>
                <w:sz w:val="20"/>
              </w:rPr>
              <w:t>2,51 M$</w:t>
            </w:r>
          </w:p>
        </w:tc>
        <w:tc>
          <w:tcPr>
            <w:tcW w:w="1987" w:type="dxa"/>
          </w:tcPr>
          <w:p w:rsidR="00B330ED" w:rsidRDefault="00AE1330">
            <w:pPr>
              <w:jc w:val="center"/>
              <w:cnfStyle w:val="000000100000" w:firstRow="0" w:lastRow="0" w:firstColumn="0" w:lastColumn="0" w:oddVBand="0" w:evenVBand="0" w:oddHBand="1" w:evenHBand="0" w:firstRowFirstColumn="0" w:firstRowLastColumn="0" w:lastRowFirstColumn="0" w:lastRowLastColumn="0"/>
            </w:pPr>
            <w:r>
              <w:rPr>
                <w:sz w:val="20"/>
              </w:rPr>
              <w:t>754 k$</w:t>
            </w:r>
          </w:p>
        </w:tc>
        <w:tc>
          <w:tcPr>
            <w:tcW w:w="1987" w:type="dxa"/>
          </w:tcPr>
          <w:p w:rsidR="00B330ED" w:rsidRDefault="00AE1330">
            <w:pPr>
              <w:jc w:val="center"/>
              <w:cnfStyle w:val="000000100000" w:firstRow="0" w:lastRow="0" w:firstColumn="0" w:lastColumn="0" w:oddVBand="0" w:evenVBand="0" w:oddHBand="1" w:evenHBand="0" w:firstRowFirstColumn="0" w:firstRowLastColumn="0" w:lastRowFirstColumn="0" w:lastRowLastColumn="0"/>
            </w:pPr>
            <w:r>
              <w:rPr>
                <w:sz w:val="20"/>
              </w:rPr>
              <w:t>271,9 $</w:t>
            </w:r>
          </w:p>
        </w:tc>
        <w:tc>
          <w:tcPr>
            <w:tcW w:w="1987" w:type="dxa"/>
          </w:tcPr>
          <w:p w:rsidR="00B330ED" w:rsidRDefault="00AE1330">
            <w:pPr>
              <w:jc w:val="center"/>
              <w:cnfStyle w:val="000000100000" w:firstRow="0" w:lastRow="0" w:firstColumn="0" w:lastColumn="0" w:oddVBand="0" w:evenVBand="0" w:oddHBand="1" w:evenHBand="0" w:firstRowFirstColumn="0" w:firstRowLastColumn="0" w:lastRowFirstColumn="0" w:lastRowLastColumn="0"/>
            </w:pPr>
            <w:r>
              <w:rPr>
                <w:sz w:val="20"/>
              </w:rPr>
              <w:t>1,9 %</w:t>
            </w:r>
          </w:p>
        </w:tc>
        <w:tc>
          <w:tcPr>
            <w:tcW w:w="1987" w:type="dxa"/>
          </w:tcPr>
          <w:p w:rsidR="00B330ED" w:rsidRDefault="00AE1330">
            <w:pPr>
              <w:jc w:val="center"/>
              <w:cnfStyle w:val="000000100000" w:firstRow="0" w:lastRow="0" w:firstColumn="0" w:lastColumn="0" w:oddVBand="0" w:evenVBand="0" w:oddHBand="1" w:evenHBand="0" w:firstRowFirstColumn="0" w:firstRowLastColumn="0" w:lastRowFirstColumn="0" w:lastRowLastColumn="0"/>
            </w:pPr>
            <w:r>
              <w:rPr>
                <w:sz w:val="20"/>
              </w:rPr>
              <w:t>8,3 %</w:t>
            </w:r>
          </w:p>
        </w:tc>
      </w:tr>
    </w:tbl>
    <w:p w:rsidR="00B330ED" w:rsidRDefault="00B330ED"/>
    <w:p w:rsidR="00B330ED" w:rsidRDefault="00AE1330">
      <w:r>
        <w:t>Sur 6 mois, AfriMarket génère 2,51 M$ de chiffre d'affair</w:t>
      </w:r>
      <w:r>
        <w:t>es pour un profit net estimé de 754 k$ (≈30% de marge nette sur le CA non annulé). Le taux d'annulation reste faible (1,9%), mais le taux de retour (8,3%) constitue un point de vigilance direct sur la rentabilité.</w:t>
      </w:r>
    </w:p>
    <w:p w:rsidR="00B330ED" w:rsidRDefault="00AE1330">
      <w:r>
        <w:br w:type="page"/>
      </w:r>
    </w:p>
    <w:p w:rsidR="00B330ED" w:rsidRDefault="00AE1330">
      <w:pPr>
        <w:pStyle w:val="Titre1"/>
      </w:pPr>
      <w:r>
        <w:rPr>
          <w:color w:val="1F2D50"/>
        </w:rPr>
        <w:lastRenderedPageBreak/>
        <w:t>Analyse par catégorie — Quelle catégorie</w:t>
      </w:r>
      <w:r>
        <w:rPr>
          <w:color w:val="1F2D50"/>
        </w:rPr>
        <w:t xml:space="preserve"> prioriser ?</w:t>
      </w:r>
    </w:p>
    <w:p w:rsidR="00B330ED" w:rsidRDefault="00AE1330">
      <w:r>
        <w:rPr>
          <w:noProof/>
          <w:lang w:val="fr-FR" w:eastAsia="fr-FR"/>
        </w:rPr>
        <w:drawing>
          <wp:inline distT="0" distB="0" distL="0" distR="0">
            <wp:extent cx="2743200" cy="1567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par_categorie.png"/>
                    <pic:cNvPicPr/>
                  </pic:nvPicPr>
                  <pic:blipFill>
                    <a:blip r:embed="rId6"/>
                    <a:stretch>
                      <a:fillRect/>
                    </a:stretch>
                  </pic:blipFill>
                  <pic:spPr>
                    <a:xfrm>
                      <a:off x="0" y="0"/>
                      <a:ext cx="2743200" cy="1567543"/>
                    </a:xfrm>
                    <a:prstGeom prst="rect">
                      <a:avLst/>
                    </a:prstGeom>
                  </pic:spPr>
                </pic:pic>
              </a:graphicData>
            </a:graphic>
          </wp:inline>
        </w:drawing>
      </w:r>
    </w:p>
    <w:p w:rsidR="00B330ED" w:rsidRDefault="00AE1330">
      <w:pPr>
        <w:jc w:val="center"/>
      </w:pPr>
      <w:r>
        <w:rPr>
          <w:i/>
          <w:color w:val="555555"/>
          <w:sz w:val="18"/>
        </w:rPr>
        <w:t>CA par catégorie</w:t>
      </w:r>
    </w:p>
    <w:p w:rsidR="00B330ED" w:rsidRDefault="00AE1330">
      <w:r>
        <w:t>L'Électronique porte 74,6% du CA total (1,87 M$) et 82% du profit net (615 k$) : c'est le moteur de croissance de l'entreprise. Mode et Beauté affichent un profit quasi nul rapporté à leur marge brute théorique : les coûts d</w:t>
      </w:r>
      <w:r>
        <w:t>e livraison et marketing absorbent respectivement 57% et 88% de leur marge (contre 6% pour l'Électronique), leur panier moyen étant trop faible pour couvrir le coût fixe par commande.</w:t>
      </w:r>
    </w:p>
    <w:p w:rsidR="00B330ED" w:rsidRDefault="00AE1330">
      <w:pPr>
        <w:pStyle w:val="Listepuces"/>
      </w:pPr>
      <w:r>
        <w:t>Prioriser l'investissement sur l'Électronique (référencement, stock, pub</w:t>
      </w:r>
      <w:r>
        <w:t>licité).</w:t>
      </w:r>
    </w:p>
    <w:p w:rsidR="00B330ED" w:rsidRDefault="00AE1330">
      <w:pPr>
        <w:pStyle w:val="Listepuces"/>
      </w:pPr>
      <w:r>
        <w:t>Optimiser Mode et Beauté par le panier moyen (seuils de livraison gratuite, bundles) plutôt que par le volume.</w:t>
      </w:r>
    </w:p>
    <w:p w:rsidR="00B330ED" w:rsidRDefault="00AE1330">
      <w:pPr>
        <w:pStyle w:val="Listepuces"/>
      </w:pPr>
      <w:r>
        <w:t>Surveiller le taux de retour Électronique (14,1%, ~2x la moyenne) qui érode sa rentabilité.</w:t>
      </w:r>
    </w:p>
    <w:p w:rsidR="00B330ED" w:rsidRDefault="00AE1330">
      <w:pPr>
        <w:pStyle w:val="Titre1"/>
      </w:pPr>
      <w:r>
        <w:rPr>
          <w:color w:val="1F2D50"/>
        </w:rPr>
        <w:t>Analyse géographique — Où investir davantage</w:t>
      </w:r>
      <w:r>
        <w:rPr>
          <w:color w:val="1F2D50"/>
        </w:rPr>
        <w:t xml:space="preserve"> ?</w:t>
      </w:r>
    </w:p>
    <w:p w:rsidR="00B330ED" w:rsidRDefault="00AE1330">
      <w:r>
        <w:rPr>
          <w:noProof/>
          <w:lang w:val="fr-FR" w:eastAsia="fr-FR"/>
        </w:rPr>
        <w:drawing>
          <wp:inline distT="0" distB="0" distL="0" distR="0">
            <wp:extent cx="2743200" cy="1567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x_annulation_ville.png"/>
                    <pic:cNvPicPr/>
                  </pic:nvPicPr>
                  <pic:blipFill>
                    <a:blip r:embed="rId7"/>
                    <a:stretch>
                      <a:fillRect/>
                    </a:stretch>
                  </pic:blipFill>
                  <pic:spPr>
                    <a:xfrm>
                      <a:off x="0" y="0"/>
                      <a:ext cx="2743200" cy="1567543"/>
                    </a:xfrm>
                    <a:prstGeom prst="rect">
                      <a:avLst/>
                    </a:prstGeom>
                  </pic:spPr>
                </pic:pic>
              </a:graphicData>
            </a:graphic>
          </wp:inline>
        </w:drawing>
      </w:r>
    </w:p>
    <w:p w:rsidR="00B330ED" w:rsidRDefault="00AE1330">
      <w:pPr>
        <w:jc w:val="center"/>
      </w:pPr>
      <w:r>
        <w:rPr>
          <w:i/>
          <w:color w:val="555555"/>
          <w:sz w:val="18"/>
        </w:rPr>
        <w:t>Taux d'annulation par ville</w:t>
      </w:r>
    </w:p>
    <w:p w:rsidR="00B330ED" w:rsidRDefault="00AE1330">
      <w:r>
        <w:t>Kinshasa est le marché le plus performant (752 k$ de CA, 227 k$ de profit) avec un taux d'annulation quasi nul (0,26%) : marché mature à renforcer en priorité. Douala présente une anomalie opérationnelle majeure — taux d'an</w:t>
      </w:r>
      <w:r>
        <w:t>nulation de 12,9% contre moins de 1% partout ailleurs — qui doit être auditée (paiement local, rupture de stock, fiabilité du livreur) avant tout investissement marketing supplémentaire dans cette ville.</w:t>
      </w:r>
    </w:p>
    <w:p w:rsidR="00B330ED" w:rsidRDefault="00AE1330">
      <w:r>
        <w:br w:type="page"/>
      </w:r>
    </w:p>
    <w:p w:rsidR="00B330ED" w:rsidRDefault="00AE1330">
      <w:pPr>
        <w:pStyle w:val="Titre1"/>
      </w:pPr>
      <w:r>
        <w:rPr>
          <w:color w:val="1F2D50"/>
        </w:rPr>
        <w:lastRenderedPageBreak/>
        <w:t>Analyse marketing — Quel canal renforcer ou réduir</w:t>
      </w:r>
      <w:r>
        <w:rPr>
          <w:color w:val="1F2D50"/>
        </w:rPr>
        <w:t>e ?</w:t>
      </w:r>
    </w:p>
    <w:p w:rsidR="00B330ED" w:rsidRDefault="00AE1330">
      <w:r>
        <w:rPr>
          <w:noProof/>
          <w:lang w:val="fr-FR" w:eastAsia="fr-FR"/>
        </w:rPr>
        <w:drawing>
          <wp:inline distT="0" distB="0" distL="0" distR="0">
            <wp:extent cx="2743200" cy="1567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par_canal.png"/>
                    <pic:cNvPicPr/>
                  </pic:nvPicPr>
                  <pic:blipFill>
                    <a:blip r:embed="rId8"/>
                    <a:stretch>
                      <a:fillRect/>
                    </a:stretch>
                  </pic:blipFill>
                  <pic:spPr>
                    <a:xfrm>
                      <a:off x="0" y="0"/>
                      <a:ext cx="2743200" cy="1567543"/>
                    </a:xfrm>
                    <a:prstGeom prst="rect">
                      <a:avLst/>
                    </a:prstGeom>
                  </pic:spPr>
                </pic:pic>
              </a:graphicData>
            </a:graphic>
          </wp:inline>
        </w:drawing>
      </w:r>
    </w:p>
    <w:p w:rsidR="00B330ED" w:rsidRDefault="00AE1330">
      <w:pPr>
        <w:jc w:val="center"/>
      </w:pPr>
      <w:r>
        <w:rPr>
          <w:i/>
          <w:color w:val="555555"/>
          <w:sz w:val="18"/>
        </w:rPr>
        <w:t>ROI par canal marketing</w:t>
      </w:r>
    </w:p>
    <w:p w:rsidR="00B330ED" w:rsidRDefault="00AE1330">
      <w:r>
        <w:t>Formule : ROI = (Revenus − Coût marketing) / Coût marketing. Le canal Email affiche un ROI de 230 pour un budget marginal (2 297 $, le plus faible des 4 canaux) : il est nettement sous-financé au regard de son efficacité. Goog</w:t>
      </w:r>
      <w:r>
        <w:t>le Ads (ROI 50) reste solide et scalable. Instagram Ads génère le plus de CA (950 k$) et la meilleure rétention (54%) mais avec un ROI plus modéré (25) du fait de son budget élevé (37 k$). Influenceur cumule le pire ROI (21,5) et la pire rétention (42%) po</w:t>
      </w:r>
      <w:r>
        <w:t>ur un budget de 16 k$.</w:t>
      </w:r>
    </w:p>
    <w:p w:rsidR="00B330ED" w:rsidRDefault="00AE1330">
      <w:pPr>
        <w:pStyle w:val="Listepuces"/>
      </w:pPr>
      <w:r>
        <w:t>Augmenter le budget Email (ROI le plus élevé, sous-financé).</w:t>
      </w:r>
    </w:p>
    <w:p w:rsidR="00B330ED" w:rsidRDefault="00AE1330">
      <w:pPr>
        <w:pStyle w:val="Listepuces"/>
      </w:pPr>
      <w:r>
        <w:t>Maintenir/renforcer modérément Google Ads.</w:t>
      </w:r>
    </w:p>
    <w:p w:rsidR="00B330ED" w:rsidRDefault="00AE1330">
      <w:pPr>
        <w:pStyle w:val="Listepuces"/>
      </w:pPr>
      <w:r>
        <w:t>Conserver Instagram Ads pour le volume et la fidélisation, en optimisant le ciblage.</w:t>
      </w:r>
    </w:p>
    <w:p w:rsidR="00B330ED" w:rsidRDefault="00AE1330">
      <w:pPr>
        <w:pStyle w:val="Listepuces"/>
      </w:pPr>
      <w:r>
        <w:t>Réduire ou réattribuer le budget Influenceur</w:t>
      </w:r>
      <w:r>
        <w:t xml:space="preserve"> (pire ROI et pire rétention) vers Email/Google Ads.</w:t>
      </w:r>
    </w:p>
    <w:p w:rsidR="00B330ED" w:rsidRDefault="00AE1330">
      <w:pPr>
        <w:pStyle w:val="Titre1"/>
      </w:pPr>
      <w:r>
        <w:rPr>
          <w:color w:val="1F2D50"/>
        </w:rPr>
        <w:t>Analyse clients — Comment améliorer la rétention ?</w:t>
      </w:r>
    </w:p>
    <w:p w:rsidR="00B330ED" w:rsidRDefault="00AE1330">
      <w:r>
        <w:rPr>
          <w:noProof/>
          <w:lang w:val="fr-FR" w:eastAsia="fr-FR"/>
        </w:rPr>
        <w:drawing>
          <wp:inline distT="0" distB="0" distL="0" distR="0">
            <wp:extent cx="2743200" cy="1763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lients.png"/>
                    <pic:cNvPicPr/>
                  </pic:nvPicPr>
                  <pic:blipFill>
                    <a:blip r:embed="rId9"/>
                    <a:stretch>
                      <a:fillRect/>
                    </a:stretch>
                  </pic:blipFill>
                  <pic:spPr>
                    <a:xfrm>
                      <a:off x="0" y="0"/>
                      <a:ext cx="2743200" cy="1763486"/>
                    </a:xfrm>
                    <a:prstGeom prst="rect">
                      <a:avLst/>
                    </a:prstGeom>
                  </pic:spPr>
                </pic:pic>
              </a:graphicData>
            </a:graphic>
          </wp:inline>
        </w:drawing>
      </w:r>
    </w:p>
    <w:p w:rsidR="00B330ED" w:rsidRDefault="00AE1330">
      <w:pPr>
        <w:jc w:val="center"/>
      </w:pPr>
      <w:r>
        <w:rPr>
          <w:i/>
          <w:color w:val="555555"/>
          <w:sz w:val="18"/>
        </w:rPr>
        <w:t>Courbe de Pareto — CA cumulé par client</w:t>
      </w:r>
    </w:p>
    <w:p w:rsidR="00B330ED" w:rsidRDefault="00AE1330">
      <w:r>
        <w:t>La base compte 1 734 clients, dont 73,2% sont récurrents (≥2 commandes) : un socle de fidélité globalement sai</w:t>
      </w:r>
      <w:r>
        <w:t xml:space="preserve">n. L'analyse Pareto montre que 31,9% des clients génèrent 80% du CA — une concentration modérée, plutôt rassurante. La segmentation par quartiles révèle une forte polarisation : le segment Platine (25% des clients) génère 72% du CA total, contre 1,4% pour </w:t>
      </w:r>
      <w:r>
        <w:t>le segment Bronze.</w:t>
      </w:r>
    </w:p>
    <w:p w:rsidR="00B330ED" w:rsidRDefault="00AE1330">
      <w:pPr>
        <w:pStyle w:val="Listepuces"/>
      </w:pPr>
      <w:r>
        <w:t>Programme VIP pour le segment Platine, afin de sécuriser le cœur du chiffre d'affaires.</w:t>
      </w:r>
    </w:p>
    <w:p w:rsidR="00B330ED" w:rsidRDefault="00AE1330">
      <w:pPr>
        <w:pStyle w:val="Listepuces"/>
      </w:pPr>
      <w:r>
        <w:t>Offres d'activation ciblées pour Bronze/Argent (867 clients, 7,8% du CA) pour les faire monter en gamme.</w:t>
      </w:r>
    </w:p>
    <w:p w:rsidR="00B330ED" w:rsidRDefault="00AE1330">
      <w:r>
        <w:br w:type="page"/>
      </w:r>
    </w:p>
    <w:p w:rsidR="00B330ED" w:rsidRDefault="00AE1330">
      <w:pPr>
        <w:pStyle w:val="Titre1"/>
      </w:pPr>
      <w:r>
        <w:rPr>
          <w:color w:val="1F2D50"/>
        </w:rPr>
        <w:lastRenderedPageBreak/>
        <w:t>5 recommandations stratégiques</w:t>
      </w:r>
    </w:p>
    <w:p w:rsidR="00B330ED" w:rsidRDefault="00AE1330">
      <w:pPr>
        <w:pStyle w:val="Listenumros"/>
      </w:pPr>
      <w:r>
        <w:t xml:space="preserve">Prioriser </w:t>
      </w:r>
      <w:r>
        <w:t>l'Électronique tout en réduisant son taux de retour (74,6% du CA et 82% du profit ; fiches produits plus précises, contrôle qualité fournisseurs, politique de retour resserrée).</w:t>
      </w:r>
    </w:p>
    <w:p w:rsidR="00B330ED" w:rsidRDefault="00AE1330">
      <w:pPr>
        <w:pStyle w:val="Listenumros"/>
      </w:pPr>
      <w:r>
        <w:t>Revoir l'économie unitaire de Mode et Beauté (coûts logistiques/marketing cons</w:t>
      </w:r>
      <w:r>
        <w:t>ommant 57% et 88% de leur marge) via un seuil de livraison gratuite, des bundles produits, ou une renégociation des frais de livraison.</w:t>
      </w:r>
    </w:p>
    <w:p w:rsidR="00B330ED" w:rsidRDefault="00AE1330">
      <w:pPr>
        <w:pStyle w:val="Listenumros"/>
      </w:pPr>
      <w:r>
        <w:t xml:space="preserve">Auditer en urgence l'anomalie opérationnelle de Douala (12,9% d'annulation vs &lt;1% ailleurs) avant d'y engager davantage </w:t>
      </w:r>
      <w:r>
        <w:t>de budget marketing.</w:t>
      </w:r>
    </w:p>
    <w:p w:rsidR="00B330ED" w:rsidRDefault="00AE1330">
      <w:pPr>
        <w:pStyle w:val="Listenumros"/>
      </w:pPr>
      <w:r>
        <w:t>Réallouer le budget marketing vers l'efficacité : renforcer Email (ROI 230) et Google Ads (ROI 50), réduire Influenceur (ROI 21,5, rétention la plus faible).</w:t>
      </w:r>
    </w:p>
    <w:p w:rsidR="00B330ED" w:rsidRDefault="00AE1330">
      <w:pPr>
        <w:pStyle w:val="Listenumros"/>
      </w:pPr>
      <w:r>
        <w:t xml:space="preserve">Structurer un programme de fidélisation différencié par segment : traitement </w:t>
      </w:r>
      <w:r>
        <w:t>VIP pour Platine (72% du CA), offres d'activation pour Bronze/Argent (7,8% du CA) afin d'accélérer leur montée en gamme.</w:t>
      </w:r>
    </w:p>
    <w:p w:rsidR="00B330ED" w:rsidRDefault="00AE1330">
      <w:pPr>
        <w:pStyle w:val="Titre1"/>
      </w:pPr>
      <w:r>
        <w:rPr>
          <w:color w:val="1F2D50"/>
        </w:rPr>
        <w:t>Conclusion business orientée action</w:t>
      </w:r>
    </w:p>
    <w:p w:rsidR="00B330ED" w:rsidRDefault="00AE1330">
      <w:r>
        <w:t>AfriMarket dispose d'un socle commercial sain : 2,51 M$ de CA sur 6 mois, 754 k$ de profit net esti</w:t>
      </w:r>
      <w:r>
        <w:t xml:space="preserve">mé, une base client majoritairement fidèle (73,2% de récurrence) et un taux d'annulation globalement faible (1,9%). Trois leviers d'action immédiats se dégagent : consolider l'Électronique en maîtrisant ses retours, corriger la rentabilité structurelle de </w:t>
      </w:r>
      <w:r>
        <w:t>Mode et Beauté par le panier moyen plutôt que par le volume, et traiter sans délai l'anomalie opérationnelle de Douala qui grève silencieusement la performance géographique. Sur le plan marketing, un simple réarbitrage de budget — moins d'Influenceur, plus</w:t>
      </w:r>
      <w:r>
        <w:t xml:space="preserve"> d'Email et de Google Ads — peut améliorer le ROI global sans augmenter la dépense totale. Enfin, la fidélisation doit devenir différenciée par segment plutôt qu'uniforme, pour sécuriser le cœur de revenu (segment Platine) tout en développant la base moins</w:t>
      </w:r>
      <w:r>
        <w:t xml:space="preserve"> engagée. Ces indicateurs sont pilotables au mois par mois dans le dashboard Streamlit livré avec cette analyse.</w:t>
      </w:r>
    </w:p>
    <w:sectPr w:rsidR="00B330E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E1330"/>
    <w:rsid w:val="00B330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B3A6772-1956-4E75-8343-0CB1A900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1B74B-A790-4328-AB88-8B5C23EE1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1000</Words>
  <Characters>5505</Characters>
  <Application>Microsoft Office Word</Application>
  <DocSecurity>0</DocSecurity>
  <Lines>93</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p:lastModifiedBy>
  <cp:revision>2</cp:revision>
  <cp:lastPrinted>2026-08-23T18:32:00Z</cp:lastPrinted>
  <dcterms:created xsi:type="dcterms:W3CDTF">2013-12-23T23:15:00Z</dcterms:created>
  <dcterms:modified xsi:type="dcterms:W3CDTF">2026-08-23T18:32:00Z</dcterms:modified>
  <cp:category/>
</cp:coreProperties>
</file>