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F0A69" w:rsidR="00FF0A69" w:rsidP="00FF0A69" w:rsidRDefault="00FF0A69" w14:paraId="4D0FFB0D" w14:textId="77777777">
      <w:pPr>
        <w:spacing w:before="240" w:after="80" w:line="240" w:lineRule="auto"/>
        <w:jc w:val="center"/>
        <w:textAlignment w:val="baseline"/>
        <w:rPr>
          <w:rFonts w:ascii="Times New Roman" w:hAnsi="Times New Roman" w:eastAsia="Times New Roman" w:cs="Times New Roman"/>
          <w:sz w:val="24"/>
          <w:szCs w:val="24"/>
          <w:lang w:val="en-GB" w:eastAsia="fr-FR"/>
        </w:rPr>
      </w:pPr>
      <w:r w:rsidRPr="00FF0A69">
        <w:rPr>
          <w:rFonts w:ascii="Arial" w:hAnsi="Arial" w:eastAsia="Times New Roman" w:cs="Arial"/>
          <w:b/>
          <w:bCs/>
          <w:color w:val="2E5C9E"/>
          <w:lang w:val="en-GB" w:eastAsia="fr-FR"/>
        </w:rPr>
        <w:t>POLYTECH CLERMONT — HACKATHON</w:t>
      </w:r>
      <w:r w:rsidRPr="00FF0A69">
        <w:rPr>
          <w:rFonts w:ascii="Arial" w:hAnsi="Arial" w:eastAsia="Times New Roman" w:cs="Arial"/>
          <w:color w:val="2E5C9E"/>
          <w:lang w:val="en-GB" w:eastAsia="fr-FR"/>
        </w:rPr>
        <w:t> </w:t>
      </w:r>
    </w:p>
    <w:p w:rsidRPr="00FF0A69" w:rsidR="00FF0A69" w:rsidP="00FF0A69" w:rsidRDefault="00FF0A69" w14:paraId="791F0809" w14:textId="780CE4E3">
      <w:pPr>
        <w:spacing w:after="600" w:line="240" w:lineRule="auto"/>
        <w:jc w:val="center"/>
        <w:textAlignment w:val="baseline"/>
        <w:rPr>
          <w:rFonts w:ascii="Times New Roman" w:hAnsi="Times New Roman" w:eastAsia="Times New Roman" w:cs="Times New Roman"/>
          <w:sz w:val="24"/>
          <w:szCs w:val="24"/>
          <w:lang w:val="en-GB" w:eastAsia="fr-FR"/>
        </w:rPr>
      </w:pPr>
      <w:r w:rsidRPr="00FF0A69">
        <w:rPr>
          <w:rFonts w:ascii="Arial" w:hAnsi="Arial" w:eastAsia="Times New Roman" w:cs="Arial"/>
          <w:color w:val="555555"/>
          <w:sz w:val="20"/>
          <w:szCs w:val="20"/>
          <w:lang w:val="en-GB" w:eastAsia="fr-FR"/>
        </w:rPr>
        <w:t>Livrable n°</w:t>
      </w:r>
      <w:r>
        <w:rPr>
          <w:rFonts w:ascii="Arial" w:hAnsi="Arial" w:eastAsia="Times New Roman" w:cs="Arial"/>
          <w:color w:val="555555"/>
          <w:sz w:val="20"/>
          <w:szCs w:val="20"/>
          <w:lang w:val="en-GB" w:eastAsia="fr-FR"/>
        </w:rPr>
        <w:t>8</w:t>
      </w:r>
      <w:r w:rsidRPr="00FF0A69">
        <w:rPr>
          <w:rFonts w:ascii="Arial" w:hAnsi="Arial" w:eastAsia="Times New Roman" w:cs="Arial"/>
          <w:color w:val="555555"/>
          <w:sz w:val="20"/>
          <w:szCs w:val="20"/>
          <w:lang w:val="en-GB" w:eastAsia="fr-FR"/>
        </w:rPr>
        <w:t xml:space="preserve"> </w:t>
      </w:r>
    </w:p>
    <w:p w:rsidRPr="00FF0A69" w:rsidR="00FF0A69" w:rsidP="00FF0A69" w:rsidRDefault="00FF0A69" w14:paraId="36842F6A" w14:textId="77777777">
      <w:pPr>
        <w:pBdr>
          <w:bottom w:val="single" w:color="auto" w:sz="6" w:space="6"/>
        </w:pBdr>
        <w:spacing w:after="375" w:line="240" w:lineRule="auto"/>
        <w:jc w:val="center"/>
        <w:textAlignment w:val="baseline"/>
        <w:rPr>
          <w:rFonts w:ascii="Times New Roman" w:hAnsi="Times New Roman" w:eastAsia="Times New Roman" w:cs="Times New Roman"/>
          <w:sz w:val="24"/>
          <w:szCs w:val="24"/>
          <w:lang w:val="en-GB" w:eastAsia="fr-FR"/>
        </w:rPr>
      </w:pPr>
      <w:r w:rsidRPr="00FF0A69">
        <w:rPr>
          <w:rFonts w:ascii="Arial" w:hAnsi="Arial" w:eastAsia="Times New Roman" w:cs="Arial"/>
          <w:lang w:val="en-GB" w:eastAsia="fr-FR"/>
        </w:rPr>
        <w:t> </w:t>
      </w:r>
    </w:p>
    <w:p w:rsidRPr="00FF0A69" w:rsidR="00FF0A69" w:rsidP="00FF0A69" w:rsidRDefault="00FF0A69" w14:paraId="081BCFF3" w14:textId="77777777">
      <w:pPr>
        <w:spacing w:after="100" w:line="240" w:lineRule="auto"/>
        <w:jc w:val="center"/>
        <w:textAlignment w:val="baseline"/>
        <w:rPr>
          <w:rFonts w:ascii="Times New Roman" w:hAnsi="Times New Roman" w:eastAsia="Times New Roman" w:cs="Times New Roman"/>
          <w:sz w:val="24"/>
          <w:szCs w:val="24"/>
          <w:lang w:eastAsia="fr-FR"/>
        </w:rPr>
      </w:pPr>
      <w:r w:rsidRPr="00FF0A69">
        <w:rPr>
          <w:rFonts w:ascii="Arial" w:hAnsi="Arial" w:eastAsia="Times New Roman" w:cs="Arial"/>
          <w:b/>
          <w:bCs/>
          <w:color w:val="1F3A66"/>
          <w:sz w:val="40"/>
          <w:szCs w:val="40"/>
          <w:lang w:eastAsia="fr-FR"/>
        </w:rPr>
        <w:t>Sujet n°1 — Bio-raffinerie universitaire</w:t>
      </w:r>
      <w:r w:rsidRPr="00FF0A69">
        <w:rPr>
          <w:rFonts w:ascii="Arial" w:hAnsi="Arial" w:eastAsia="Times New Roman" w:cs="Arial"/>
          <w:color w:val="1F3A66"/>
          <w:sz w:val="40"/>
          <w:szCs w:val="40"/>
          <w:lang w:eastAsia="fr-FR"/>
        </w:rPr>
        <w:t> </w:t>
      </w:r>
    </w:p>
    <w:p w:rsidR="00287AD0" w:rsidP="00287AD0" w:rsidRDefault="00287AD0" w14:paraId="2E2F90F3" w14:textId="77777777">
      <w:pPr>
        <w:spacing w:after="480" w:line="240" w:lineRule="auto"/>
        <w:jc w:val="center"/>
        <w:textAlignment w:val="baseline"/>
        <w:rPr>
          <w:rFonts w:ascii="Arial" w:hAnsi="Arial" w:eastAsia="Times New Roman" w:cs="Arial"/>
          <w:i/>
          <w:iCs/>
          <w:lang w:eastAsia="fr-FR"/>
        </w:rPr>
      </w:pPr>
      <w:r w:rsidRPr="00287AD0">
        <w:rPr>
          <w:rFonts w:ascii="Arial" w:hAnsi="Arial" w:eastAsia="Times New Roman" w:cs="Arial"/>
          <w:i/>
          <w:iCs/>
          <w:lang w:eastAsia="fr-FR"/>
        </w:rPr>
        <w:t>ORGANISATION ET</w:t>
      </w:r>
      <w:r>
        <w:rPr>
          <w:rFonts w:ascii="Arial" w:hAnsi="Arial" w:eastAsia="Times New Roman" w:cs="Arial"/>
          <w:i/>
          <w:iCs/>
          <w:lang w:eastAsia="fr-FR"/>
        </w:rPr>
        <w:t xml:space="preserve"> </w:t>
      </w:r>
      <w:r w:rsidRPr="00287AD0">
        <w:rPr>
          <w:rFonts w:ascii="Arial" w:hAnsi="Arial" w:eastAsia="Times New Roman" w:cs="Arial"/>
          <w:i/>
          <w:iCs/>
          <w:lang w:eastAsia="fr-FR"/>
        </w:rPr>
        <w:t>PLANIFICATION DE LA MISE EN ŒUVRE</w:t>
      </w:r>
    </w:p>
    <w:p w:rsidRPr="00287AD0" w:rsidR="00FF0A69" w:rsidP="00287AD0" w:rsidRDefault="00FF0A69" w14:paraId="657351F5" w14:textId="071E3DA5">
      <w:pPr>
        <w:spacing w:after="480" w:line="240" w:lineRule="auto"/>
        <w:jc w:val="center"/>
        <w:textAlignment w:val="baseline"/>
      </w:pPr>
      <w:r w:rsidRPr="543C2AF0" w:rsidR="00FF0A69">
        <w:rPr>
          <w:rFonts w:ascii="Arial" w:hAnsi="Arial" w:eastAsia="Times New Roman" w:cs="Arial"/>
          <w:color w:val="555555"/>
          <w:sz w:val="20"/>
          <w:szCs w:val="20"/>
          <w:lang w:eastAsia="fr-FR"/>
        </w:rPr>
        <w:t>Orientation provisoire : tri à la source des biodéchets + valorisation matière locale </w:t>
      </w:r>
    </w:p>
    <w:p w:rsidR="543C2AF0" w:rsidP="543C2AF0" w:rsidRDefault="543C2AF0" w14:paraId="0AD47F4E" w14:textId="0C83F92D">
      <w:pPr>
        <w:spacing w:after="480" w:line="240" w:lineRule="auto"/>
        <w:jc w:val="center"/>
        <w:rPr>
          <w:rFonts w:ascii="Arial" w:hAnsi="Arial" w:eastAsia="Times New Roman" w:cs="Arial"/>
          <w:color w:val="555555"/>
          <w:sz w:val="20"/>
          <w:szCs w:val="20"/>
          <w:lang w:eastAsia="fr-FR"/>
        </w:rPr>
      </w:pPr>
    </w:p>
    <w:p w:rsidRPr="00FF0A69" w:rsidR="00FF0A69" w:rsidP="00FF0A69" w:rsidRDefault="00FF0A69" w14:paraId="141C2050" w14:textId="77777777">
      <w:pPr>
        <w:spacing w:after="60" w:line="240" w:lineRule="auto"/>
        <w:jc w:val="center"/>
        <w:textAlignment w:val="baseline"/>
        <w:rPr>
          <w:rFonts w:ascii="Times New Roman" w:hAnsi="Times New Roman" w:eastAsia="Times New Roman" w:cs="Times New Roman"/>
          <w:sz w:val="24"/>
          <w:szCs w:val="24"/>
          <w:lang w:eastAsia="fr-FR"/>
        </w:rPr>
      </w:pPr>
      <w:r w:rsidRPr="00FF0A69">
        <w:rPr>
          <w:rFonts w:ascii="Arial" w:hAnsi="Arial" w:eastAsia="Times New Roman" w:cs="Arial"/>
          <w:b/>
          <w:bCs/>
          <w:color w:val="2E5C9E"/>
          <w:sz w:val="32"/>
          <w:szCs w:val="32"/>
          <w:lang w:eastAsia="fr-FR"/>
        </w:rPr>
        <w:t>Équipe 1</w:t>
      </w:r>
      <w:r w:rsidRPr="00FF0A69">
        <w:rPr>
          <w:rFonts w:ascii="Arial" w:hAnsi="Arial" w:eastAsia="Times New Roman" w:cs="Arial"/>
          <w:color w:val="2E5C9E"/>
          <w:sz w:val="32"/>
          <w:szCs w:val="32"/>
          <w:lang w:eastAsia="fr-FR"/>
        </w:rPr>
        <w:t> </w:t>
      </w:r>
    </w:p>
    <w:p w:rsidRPr="00FF0A69" w:rsidR="00FF0A69" w:rsidP="543C2AF0" w:rsidRDefault="00FF0A69" w14:paraId="16105DA7" w14:textId="2BEA745B">
      <w:pPr>
        <w:spacing w:after="60" w:line="240" w:lineRule="auto"/>
        <w:jc w:val="center"/>
        <w:textAlignment w:val="baseline"/>
        <w:rPr>
          <w:rFonts w:ascii="Arial" w:hAnsi="Arial" w:eastAsia="Times New Roman" w:cs="Arial"/>
          <w:lang w:eastAsia="fr-FR"/>
        </w:rPr>
      </w:pPr>
      <w:r w:rsidRPr="543C2AF0" w:rsidR="00FF0A69">
        <w:rPr>
          <w:rFonts w:ascii="Arial" w:hAnsi="Arial" w:eastAsia="Times New Roman" w:cs="Arial"/>
          <w:lang w:eastAsia="fr-FR"/>
        </w:rPr>
        <w:t xml:space="preserve">Salle AM102 • </w:t>
      </w:r>
      <w:r w:rsidRPr="543C2AF0" w:rsidR="0BE69562">
        <w:rPr>
          <w:rFonts w:ascii="Arial" w:hAnsi="Arial" w:eastAsia="Times New Roman" w:cs="Arial"/>
          <w:lang w:eastAsia="fr-FR"/>
        </w:rPr>
        <w:t xml:space="preserve">jeudi </w:t>
      </w:r>
      <w:r w:rsidRPr="543C2AF0" w:rsidR="00FF0A69">
        <w:rPr>
          <w:rFonts w:ascii="Arial" w:hAnsi="Arial" w:eastAsia="Times New Roman" w:cs="Arial"/>
          <w:lang w:eastAsia="fr-FR"/>
        </w:rPr>
        <w:t>2</w:t>
      </w:r>
      <w:r w:rsidRPr="543C2AF0" w:rsidR="4B83C37F">
        <w:rPr>
          <w:rFonts w:ascii="Arial" w:hAnsi="Arial" w:eastAsia="Times New Roman" w:cs="Arial"/>
          <w:lang w:eastAsia="fr-FR"/>
        </w:rPr>
        <w:t>5</w:t>
      </w:r>
      <w:r w:rsidRPr="543C2AF0" w:rsidR="00FF0A69">
        <w:rPr>
          <w:rFonts w:ascii="Arial" w:hAnsi="Arial" w:eastAsia="Times New Roman" w:cs="Arial"/>
          <w:lang w:eastAsia="fr-FR"/>
        </w:rPr>
        <w:t xml:space="preserve"> juin 2026 </w:t>
      </w:r>
    </w:p>
    <w:p w:rsidRPr="00FF0A69" w:rsidR="00FF0A69" w:rsidP="00FF0A69" w:rsidRDefault="00FF0A69" w14:paraId="0CE5992D" w14:textId="77777777">
      <w:pPr>
        <w:spacing w:after="60" w:line="240" w:lineRule="auto"/>
        <w:jc w:val="center"/>
        <w:textAlignment w:val="baseline"/>
      </w:pPr>
      <w:r w:rsidRPr="543C2AF0" w:rsidR="00FF0A69">
        <w:rPr>
          <w:rFonts w:ascii="Arial" w:hAnsi="Arial" w:eastAsia="Times New Roman" w:cs="Arial"/>
          <w:b w:val="1"/>
          <w:bCs w:val="1"/>
          <w:lang w:eastAsia="fr-FR"/>
        </w:rPr>
        <w:t>Cheffe d'équipe : Léa Pedrono</w:t>
      </w:r>
      <w:r w:rsidRPr="543C2AF0" w:rsidR="00FF0A69">
        <w:rPr>
          <w:rFonts w:ascii="Arial" w:hAnsi="Arial" w:eastAsia="Times New Roman" w:cs="Arial"/>
          <w:lang w:eastAsia="fr-FR"/>
        </w:rPr>
        <w:t> </w:t>
      </w:r>
    </w:p>
    <w:p w:rsidR="543C2AF0" w:rsidP="543C2AF0" w:rsidRDefault="543C2AF0" w14:paraId="17A8D939" w14:textId="6A47277B">
      <w:pPr>
        <w:spacing w:after="60" w:line="240" w:lineRule="auto"/>
        <w:jc w:val="center"/>
        <w:rPr>
          <w:rFonts w:ascii="Arial" w:hAnsi="Arial" w:eastAsia="Times New Roman" w:cs="Arial"/>
          <w:lang w:eastAsia="fr-FR"/>
        </w:rPr>
      </w:pPr>
    </w:p>
    <w:p w:rsidRPr="00FF0A69" w:rsidR="00FF0A69" w:rsidP="00FF0A69" w:rsidRDefault="00FF0A69" w14:paraId="5F320E17" w14:textId="77777777">
      <w:pPr>
        <w:spacing w:after="24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lang w:eastAsia="fr-FR"/>
        </w:rPr>
        <w:t> </w:t>
      </w:r>
    </w:p>
    <w:tbl>
      <w:tblPr>
        <w:tblW w:w="0" w:type="auto"/>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3600"/>
        <w:gridCol w:w="1485"/>
        <w:gridCol w:w="3915"/>
      </w:tblGrid>
      <w:tr w:rsidRPr="00FF0A69" w:rsidR="00FF0A69" w14:paraId="07BC60C2" w14:textId="77777777">
        <w:trPr>
          <w:trHeight w:val="300"/>
        </w:trPr>
        <w:tc>
          <w:tcPr>
            <w:tcW w:w="3600" w:type="dxa"/>
            <w:tcBorders>
              <w:top w:val="single" w:color="CCCCCC" w:sz="6" w:space="0"/>
              <w:left w:val="single" w:color="CCCCCC" w:sz="6" w:space="0"/>
              <w:bottom w:val="single" w:color="CCCCCC" w:sz="6" w:space="0"/>
              <w:right w:val="single" w:color="CCCCCC" w:sz="6" w:space="0"/>
            </w:tcBorders>
            <w:shd w:val="clear" w:color="auto" w:fill="D6E4F0"/>
            <w:vAlign w:val="center"/>
            <w:hideMark/>
          </w:tcPr>
          <w:p w:rsidRPr="00FF0A69" w:rsidR="00FF0A69" w:rsidP="00FF0A69" w:rsidRDefault="00FF0A69" w14:paraId="1E5371C8"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b/>
                <w:bCs/>
                <w:sz w:val="19"/>
                <w:szCs w:val="19"/>
                <w:lang w:eastAsia="fr-FR"/>
              </w:rPr>
              <w:t>Membre</w:t>
            </w:r>
            <w:r w:rsidRPr="00FF0A69">
              <w:rPr>
                <w:rFonts w:ascii="Arial" w:hAnsi="Arial" w:eastAsia="Times New Roman" w:cs="Arial"/>
                <w:sz w:val="19"/>
                <w:szCs w:val="19"/>
                <w:lang w:eastAsia="fr-FR"/>
              </w:rPr>
              <w:t> </w:t>
            </w:r>
          </w:p>
        </w:tc>
        <w:tc>
          <w:tcPr>
            <w:tcW w:w="1485" w:type="dxa"/>
            <w:tcBorders>
              <w:top w:val="single" w:color="CCCCCC" w:sz="6" w:space="0"/>
              <w:left w:val="single" w:color="CCCCCC" w:sz="6" w:space="0"/>
              <w:bottom w:val="single" w:color="CCCCCC" w:sz="6" w:space="0"/>
              <w:right w:val="single" w:color="CCCCCC" w:sz="6" w:space="0"/>
            </w:tcBorders>
            <w:shd w:val="clear" w:color="auto" w:fill="D6E4F0"/>
            <w:vAlign w:val="center"/>
            <w:hideMark/>
          </w:tcPr>
          <w:p w:rsidRPr="00FF0A69" w:rsidR="00FF0A69" w:rsidP="00FF0A69" w:rsidRDefault="00FF0A69" w14:paraId="0240CEF1"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b/>
                <w:bCs/>
                <w:sz w:val="19"/>
                <w:szCs w:val="19"/>
                <w:lang w:eastAsia="fr-FR"/>
              </w:rPr>
              <w:t>Formation</w:t>
            </w:r>
            <w:r w:rsidRPr="00FF0A69">
              <w:rPr>
                <w:rFonts w:ascii="Arial" w:hAnsi="Arial" w:eastAsia="Times New Roman" w:cs="Arial"/>
                <w:sz w:val="19"/>
                <w:szCs w:val="19"/>
                <w:lang w:eastAsia="fr-FR"/>
              </w:rPr>
              <w:t> </w:t>
            </w:r>
          </w:p>
        </w:tc>
        <w:tc>
          <w:tcPr>
            <w:tcW w:w="3915" w:type="dxa"/>
            <w:tcBorders>
              <w:top w:val="single" w:color="CCCCCC" w:sz="6" w:space="0"/>
              <w:left w:val="single" w:color="CCCCCC" w:sz="6" w:space="0"/>
              <w:bottom w:val="single" w:color="CCCCCC" w:sz="6" w:space="0"/>
              <w:right w:val="single" w:color="CCCCCC" w:sz="6" w:space="0"/>
            </w:tcBorders>
            <w:shd w:val="clear" w:color="auto" w:fill="D6E4F0"/>
            <w:vAlign w:val="center"/>
            <w:hideMark/>
          </w:tcPr>
          <w:p w:rsidRPr="00FF0A69" w:rsidR="00FF0A69" w:rsidP="00FF0A69" w:rsidRDefault="00FF0A69" w14:paraId="0B4F9965"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b/>
                <w:bCs/>
                <w:sz w:val="19"/>
                <w:szCs w:val="19"/>
                <w:lang w:eastAsia="fr-FR"/>
              </w:rPr>
              <w:t>Rôle dans l'équipe</w:t>
            </w:r>
            <w:r w:rsidRPr="00FF0A69">
              <w:rPr>
                <w:rFonts w:ascii="Arial" w:hAnsi="Arial" w:eastAsia="Times New Roman" w:cs="Arial"/>
                <w:sz w:val="19"/>
                <w:szCs w:val="19"/>
                <w:lang w:eastAsia="fr-FR"/>
              </w:rPr>
              <w:t> </w:t>
            </w:r>
          </w:p>
        </w:tc>
      </w:tr>
      <w:tr w:rsidRPr="00FF0A69" w:rsidR="00FF0A69" w14:paraId="4DEC29CC" w14:textId="77777777">
        <w:trPr>
          <w:trHeight w:val="300"/>
        </w:trPr>
        <w:tc>
          <w:tcPr>
            <w:tcW w:w="3600"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60D8AB43"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Léa Pedrono </w:t>
            </w:r>
          </w:p>
        </w:tc>
        <w:tc>
          <w:tcPr>
            <w:tcW w:w="148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732F0E25" w14:textId="77777777">
            <w:pPr>
              <w:spacing w:after="0" w:line="240" w:lineRule="auto"/>
              <w:jc w:val="center"/>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GP </w:t>
            </w:r>
          </w:p>
        </w:tc>
        <w:tc>
          <w:tcPr>
            <w:tcW w:w="391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6F3E8E76"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color w:val="000000"/>
                <w:sz w:val="20"/>
                <w:szCs w:val="20"/>
                <w:lang w:eastAsia="fr-FR"/>
              </w:rPr>
              <w:t>Cheffe d'équipe </w:t>
            </w:r>
          </w:p>
        </w:tc>
      </w:tr>
      <w:tr w:rsidRPr="00FF0A69" w:rsidR="00FF0A69" w14:paraId="3FE2C606" w14:textId="77777777">
        <w:trPr>
          <w:trHeight w:val="300"/>
        </w:trPr>
        <w:tc>
          <w:tcPr>
            <w:tcW w:w="3600"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780C445B"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Lina Beurrier </w:t>
            </w:r>
          </w:p>
        </w:tc>
        <w:tc>
          <w:tcPr>
            <w:tcW w:w="148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09A761AE" w14:textId="77777777">
            <w:pPr>
              <w:spacing w:after="0" w:line="240" w:lineRule="auto"/>
              <w:jc w:val="center"/>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GB </w:t>
            </w:r>
          </w:p>
        </w:tc>
        <w:tc>
          <w:tcPr>
            <w:tcW w:w="391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755B052F"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color w:val="000000"/>
                <w:sz w:val="20"/>
                <w:szCs w:val="20"/>
                <w:lang w:eastAsia="fr-FR"/>
              </w:rPr>
              <w:t>Référente coordination + veille technologique </w:t>
            </w:r>
          </w:p>
        </w:tc>
      </w:tr>
      <w:tr w:rsidRPr="00FF0A69" w:rsidR="00FF0A69" w14:paraId="398F3938" w14:textId="77777777">
        <w:trPr>
          <w:trHeight w:val="300"/>
        </w:trPr>
        <w:tc>
          <w:tcPr>
            <w:tcW w:w="3600"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79D3A805"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Mélanie Baiera </w:t>
            </w:r>
          </w:p>
        </w:tc>
        <w:tc>
          <w:tcPr>
            <w:tcW w:w="148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47E1D1D6" w14:textId="77777777">
            <w:pPr>
              <w:spacing w:after="0" w:line="240" w:lineRule="auto"/>
              <w:jc w:val="center"/>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GB </w:t>
            </w:r>
          </w:p>
        </w:tc>
        <w:tc>
          <w:tcPr>
            <w:tcW w:w="391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3D3BC8B2"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color w:val="000000"/>
                <w:sz w:val="20"/>
                <w:szCs w:val="20"/>
                <w:lang w:eastAsia="fr-FR"/>
              </w:rPr>
              <w:t>Veille procédé valorisation matière </w:t>
            </w:r>
          </w:p>
        </w:tc>
      </w:tr>
      <w:tr w:rsidRPr="00FF0A69" w:rsidR="00FF0A69" w14:paraId="16677AC9" w14:textId="77777777">
        <w:trPr>
          <w:trHeight w:val="300"/>
        </w:trPr>
        <w:tc>
          <w:tcPr>
            <w:tcW w:w="3600"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4692EA0B"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Marie Grinovies </w:t>
            </w:r>
          </w:p>
        </w:tc>
        <w:tc>
          <w:tcPr>
            <w:tcW w:w="148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0D297387" w14:textId="77777777">
            <w:pPr>
              <w:spacing w:after="0" w:line="240" w:lineRule="auto"/>
              <w:jc w:val="center"/>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GC </w:t>
            </w:r>
          </w:p>
        </w:tc>
        <w:tc>
          <w:tcPr>
            <w:tcW w:w="391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0A41B91E"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color w:val="000000"/>
                <w:sz w:val="20"/>
                <w:szCs w:val="20"/>
                <w:lang w:eastAsia="fr-FR"/>
              </w:rPr>
              <w:t>Prototype / objet-frontière </w:t>
            </w:r>
          </w:p>
        </w:tc>
      </w:tr>
      <w:tr w:rsidRPr="00FF0A69" w:rsidR="00FF0A69" w14:paraId="561138A4" w14:textId="77777777">
        <w:trPr>
          <w:trHeight w:val="300"/>
        </w:trPr>
        <w:tc>
          <w:tcPr>
            <w:tcW w:w="3600"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1ADE1E0E"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Orphelie Abo </w:t>
            </w:r>
          </w:p>
        </w:tc>
        <w:tc>
          <w:tcPr>
            <w:tcW w:w="148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5633B8EE" w14:textId="77777777">
            <w:pPr>
              <w:spacing w:after="0" w:line="240" w:lineRule="auto"/>
              <w:jc w:val="center"/>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GC </w:t>
            </w:r>
          </w:p>
        </w:tc>
        <w:tc>
          <w:tcPr>
            <w:tcW w:w="391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194A64FF"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color w:val="000000"/>
                <w:sz w:val="20"/>
                <w:szCs w:val="20"/>
                <w:lang w:eastAsia="fr-FR"/>
              </w:rPr>
              <w:t>Logistique &amp; collecte </w:t>
            </w:r>
          </w:p>
        </w:tc>
      </w:tr>
      <w:tr w:rsidRPr="00FF0A69" w:rsidR="00FF0A69" w14:paraId="7AA8456F" w14:textId="77777777">
        <w:trPr>
          <w:trHeight w:val="300"/>
        </w:trPr>
        <w:tc>
          <w:tcPr>
            <w:tcW w:w="3600"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6DB6D9A5"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Rania El Yacoute Baghdadi </w:t>
            </w:r>
          </w:p>
        </w:tc>
        <w:tc>
          <w:tcPr>
            <w:tcW w:w="148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1AC888A1" w14:textId="77777777">
            <w:pPr>
              <w:spacing w:after="0" w:line="240" w:lineRule="auto"/>
              <w:jc w:val="center"/>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GE </w:t>
            </w:r>
          </w:p>
        </w:tc>
        <w:tc>
          <w:tcPr>
            <w:tcW w:w="391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1A2E3B5E"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color w:val="000000"/>
                <w:sz w:val="20"/>
                <w:szCs w:val="20"/>
                <w:lang w:eastAsia="fr-FR"/>
              </w:rPr>
              <w:t>Tri intelligent / capteurs </w:t>
            </w:r>
          </w:p>
        </w:tc>
      </w:tr>
      <w:tr w:rsidRPr="00FF0A69" w:rsidR="00FF0A69" w14:paraId="32292F50" w14:textId="77777777">
        <w:trPr>
          <w:trHeight w:val="300"/>
        </w:trPr>
        <w:tc>
          <w:tcPr>
            <w:tcW w:w="3600"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247CADAF"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Oscar Danet </w:t>
            </w:r>
          </w:p>
        </w:tc>
        <w:tc>
          <w:tcPr>
            <w:tcW w:w="148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5E1FDDE0" w14:textId="77777777">
            <w:pPr>
              <w:spacing w:after="0" w:line="240" w:lineRule="auto"/>
              <w:jc w:val="center"/>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IMDS </w:t>
            </w:r>
          </w:p>
        </w:tc>
        <w:tc>
          <w:tcPr>
            <w:tcW w:w="391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078FC946"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color w:val="000000"/>
                <w:sz w:val="20"/>
                <w:szCs w:val="20"/>
                <w:lang w:eastAsia="fr-FR"/>
              </w:rPr>
              <w:t>Stratégie &amp; modèle économique </w:t>
            </w:r>
          </w:p>
        </w:tc>
      </w:tr>
      <w:tr w:rsidRPr="00FF0A69" w:rsidR="00FF0A69" w14:paraId="52628094" w14:textId="77777777">
        <w:trPr>
          <w:trHeight w:val="300"/>
        </w:trPr>
        <w:tc>
          <w:tcPr>
            <w:tcW w:w="3600"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7108E255"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Camille Boulle </w:t>
            </w:r>
          </w:p>
        </w:tc>
        <w:tc>
          <w:tcPr>
            <w:tcW w:w="148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7CDFC1A6" w14:textId="77777777">
            <w:pPr>
              <w:spacing w:after="0" w:line="240" w:lineRule="auto"/>
              <w:jc w:val="center"/>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GP </w:t>
            </w:r>
          </w:p>
        </w:tc>
        <w:tc>
          <w:tcPr>
            <w:tcW w:w="391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2F14F75D"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color w:val="000000"/>
                <w:sz w:val="20"/>
                <w:szCs w:val="20"/>
                <w:lang w:eastAsia="fr-FR"/>
              </w:rPr>
              <w:t>Communication &amp; soutenance </w:t>
            </w:r>
          </w:p>
        </w:tc>
      </w:tr>
      <w:tr w:rsidRPr="00FF0A69" w:rsidR="00FF0A69" w14:paraId="04318767" w14:textId="77777777">
        <w:trPr>
          <w:trHeight w:val="300"/>
        </w:trPr>
        <w:tc>
          <w:tcPr>
            <w:tcW w:w="3600"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27EB86C8"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Tilia Lassalle </w:t>
            </w:r>
          </w:p>
        </w:tc>
        <w:tc>
          <w:tcPr>
            <w:tcW w:w="148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119E7868" w14:textId="77777777">
            <w:pPr>
              <w:spacing w:after="0" w:line="240" w:lineRule="auto"/>
              <w:jc w:val="center"/>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GB </w:t>
            </w:r>
          </w:p>
        </w:tc>
        <w:tc>
          <w:tcPr>
            <w:tcW w:w="3915" w:type="dxa"/>
            <w:tcBorders>
              <w:top w:val="single" w:color="CCCCCC" w:sz="6" w:space="0"/>
              <w:left w:val="single" w:color="CCCCCC" w:sz="6" w:space="0"/>
              <w:bottom w:val="single" w:color="CCCCCC" w:sz="6" w:space="0"/>
              <w:right w:val="single" w:color="CCCCCC" w:sz="6" w:space="0"/>
            </w:tcBorders>
            <w:vAlign w:val="center"/>
            <w:hideMark/>
          </w:tcPr>
          <w:p w:rsidRPr="00FF0A69" w:rsidR="00FF0A69" w:rsidP="00FF0A69" w:rsidRDefault="00FF0A69" w14:paraId="077DE7C8" w14:textId="77777777">
            <w:pPr>
              <w:spacing w:after="0" w:line="240" w:lineRule="auto"/>
              <w:textAlignment w:val="baseline"/>
              <w:rPr>
                <w:rFonts w:ascii="Times New Roman" w:hAnsi="Times New Roman" w:eastAsia="Times New Roman" w:cs="Times New Roman"/>
                <w:sz w:val="24"/>
                <w:szCs w:val="24"/>
                <w:lang w:eastAsia="fr-FR"/>
              </w:rPr>
            </w:pPr>
            <w:r w:rsidRPr="00FF0A69">
              <w:rPr>
                <w:rFonts w:ascii="Arial" w:hAnsi="Arial" w:eastAsia="Times New Roman" w:cs="Arial"/>
                <w:sz w:val="19"/>
                <w:szCs w:val="19"/>
                <w:lang w:eastAsia="fr-FR"/>
              </w:rPr>
              <w:t> </w:t>
            </w:r>
          </w:p>
        </w:tc>
      </w:tr>
    </w:tbl>
    <w:p w:rsidR="00FF0A69" w:rsidP="00FF0A69" w:rsidRDefault="00FF0A69" w14:paraId="1E1CEF26" w14:textId="77777777">
      <w:pPr>
        <w:spacing w:line="278" w:lineRule="auto"/>
        <w:rPr>
          <w:b/>
          <w:bCs/>
        </w:rPr>
      </w:pPr>
    </w:p>
    <w:p w:rsidR="00FF0A69" w:rsidP="00FF0A69" w:rsidRDefault="00FF0A69" w14:paraId="7E0BB288" w14:textId="77777777">
      <w:pPr>
        <w:spacing w:line="278" w:lineRule="auto"/>
        <w:rPr>
          <w:b/>
          <w:bCs/>
        </w:rPr>
      </w:pPr>
    </w:p>
    <w:p w:rsidR="00FF0A69" w:rsidP="00FF0A69" w:rsidRDefault="00FF0A69" w14:paraId="51C4B71C" w14:textId="77777777">
      <w:pPr>
        <w:spacing w:line="278" w:lineRule="auto"/>
        <w:rPr>
          <w:b/>
          <w:bCs/>
        </w:rPr>
      </w:pPr>
    </w:p>
    <w:p w:rsidRPr="00FF0A69" w:rsidR="00FF0A69" w:rsidP="00FF0A69" w:rsidRDefault="00FF0A69" w14:paraId="0AC4A633" w14:textId="5F4F993B">
      <w:pPr>
        <w:spacing w:line="278" w:lineRule="auto"/>
      </w:pPr>
    </w:p>
    <w:p w:rsidRPr="00FF0A69" w:rsidR="00FF0A69" w:rsidP="00FF0A69" w:rsidRDefault="00FF0A69" w14:paraId="0D08B64E" w14:textId="3528A481">
      <w:pPr>
        <w:spacing w:line="278" w:lineRule="auto"/>
      </w:pPr>
    </w:p>
    <w:p w:rsidR="00FF0A69" w:rsidP="00FF0A69" w:rsidRDefault="00FF0A69" w14:paraId="0813E189" w14:textId="77777777">
      <w:pPr>
        <w:spacing w:line="278" w:lineRule="auto"/>
        <w:rPr>
          <w:b/>
          <w:bCs/>
          <w:color w:val="153D63" w:themeColor="text2" w:themeTint="E6"/>
          <w:sz w:val="28"/>
          <w:szCs w:val="28"/>
        </w:rPr>
      </w:pPr>
    </w:p>
    <w:p w:rsidR="00FF0A69" w:rsidP="00FF0A69" w:rsidRDefault="00FF0A69" w14:paraId="4B581B64" w14:textId="77777777">
      <w:pPr>
        <w:spacing w:line="278" w:lineRule="auto"/>
        <w:rPr>
          <w:b/>
          <w:bCs/>
          <w:color w:val="153D63" w:themeColor="text2" w:themeTint="E6"/>
          <w:sz w:val="28"/>
          <w:szCs w:val="28"/>
        </w:rPr>
      </w:pPr>
    </w:p>
    <w:p w:rsidRPr="00287AD0" w:rsidR="00FF0A69" w:rsidP="543C2AF0" w:rsidRDefault="00FF0A69" w14:paraId="2A62E383" w14:textId="6C1B7074">
      <w:pPr>
        <w:spacing w:line="278" w:lineRule="auto"/>
        <w:rPr>
          <w:b w:val="1"/>
          <w:bCs w:val="1"/>
          <w:color w:val="153D63" w:themeColor="text2" w:themeTint="E6" w:themeShade="FF"/>
          <w:sz w:val="32"/>
          <w:szCs w:val="32"/>
        </w:rPr>
      </w:pPr>
    </w:p>
    <w:p w:rsidRPr="00287AD0" w:rsidR="00FF0A69" w:rsidP="00FF0A69" w:rsidRDefault="00FF0A69" w14:paraId="7E2AD7B8" w14:textId="0348199A">
      <w:pPr>
        <w:spacing w:line="278" w:lineRule="auto"/>
      </w:pPr>
      <w:r>
        <w:br w:type="page"/>
      </w:r>
    </w:p>
    <w:p w:rsidRPr="00287AD0" w:rsidR="00FF0A69" w:rsidP="543C2AF0" w:rsidRDefault="00FF0A69" w14:paraId="2648578E" w14:textId="5FCB53C0">
      <w:pPr>
        <w:pStyle w:val="Normal"/>
        <w:spacing w:line="278" w:lineRule="auto"/>
        <w:rPr>
          <w:b w:val="1"/>
          <w:bCs w:val="1"/>
          <w:color w:val="153D63" w:themeColor="text2" w:themeTint="E6"/>
          <w:sz w:val="32"/>
          <w:szCs w:val="32"/>
        </w:rPr>
      </w:pPr>
      <w:r w:rsidRPr="543C2AF0" w:rsidR="00FF0A69">
        <w:rPr>
          <w:b w:val="1"/>
          <w:bCs w:val="1"/>
          <w:color w:val="153D63" w:themeColor="text2" w:themeTint="E6" w:themeShade="FF"/>
          <w:sz w:val="32"/>
          <w:szCs w:val="32"/>
        </w:rPr>
        <w:t>1.Executive summary</w:t>
      </w:r>
    </w:p>
    <w:p w:rsidRPr="00FF0A69" w:rsidR="00FF0A69" w:rsidP="00FF0A69" w:rsidRDefault="00FF0A69" w14:paraId="4053B89B" w14:textId="77777777">
      <w:pPr>
        <w:spacing w:line="278" w:lineRule="auto"/>
      </w:pPr>
      <w:r w:rsidRPr="00FF0A69">
        <w:t xml:space="preserve">L'Équipe 1 déploie une solution innovante de tri et de valorisation des biodéchets pour le Restaurant Universitaire (RU) du campus. L'organisation s'appuie sur une structure pluridisciplinaire unie par une gouvernance collégiale au vote à la majorité. Les étapes clés se concentrent sur la finalisation de la R&amp;D du système de tri automatisé souterrain et du réseau de propulsion d'air combiné à la pente du terrain. L'investissement R&amp;D avant-ventes est estimé à 100 k€, axé sur la validation du prototype et la conformité sanitaire du lombricompostage sur site. Le besoin de financement initial global s'élève à 150 k€, sécurisé par des subventions publiques et le Crous. Le risque principal réside dans la maintenance technique du réseau pneumatique souterrain. L’argument clé du projet est sa parfaite conformité à la loi AGEC couplée à une réduction drastique et immédiate des coûts de gestion des déchets du campus par une boucle 100% locale. </w:t>
      </w:r>
    </w:p>
    <w:p w:rsidRPr="00287AD0" w:rsidR="00FF0A69" w:rsidP="00FF0A69" w:rsidRDefault="00FF0A69" w14:paraId="66DDD9DD" w14:textId="77777777">
      <w:pPr>
        <w:spacing w:line="278" w:lineRule="auto"/>
        <w:rPr>
          <w:b/>
          <w:bCs/>
          <w:color w:val="153D63" w:themeColor="text2" w:themeTint="E6"/>
          <w:sz w:val="32"/>
          <w:szCs w:val="32"/>
        </w:rPr>
      </w:pPr>
      <w:r w:rsidRPr="00287AD0">
        <w:rPr>
          <w:b/>
          <w:bCs/>
          <w:color w:val="153D63" w:themeColor="text2" w:themeTint="E6"/>
          <w:sz w:val="32"/>
          <w:szCs w:val="32"/>
        </w:rPr>
        <w:t>2. Rappel de la stratégie</w:t>
      </w:r>
    </w:p>
    <w:p w:rsidRPr="00FF0A69" w:rsidR="00FF0A69" w:rsidP="00FF0A69" w:rsidRDefault="00FF0A69" w14:paraId="67FBDF08" w14:textId="77777777">
      <w:pPr>
        <w:spacing w:line="278" w:lineRule="auto"/>
      </w:pPr>
      <w:r w:rsidRPr="00FF0A69">
        <w:t xml:space="preserve">Le projet propose une solution clé-en-main pour le Crous. Le flux de déchets jeté par les étudiants en sortie de self fait l'objet d'un tri automatisé souterrain (séparation mécanique et optique des déchets organiques). Les biodéchets ainsi isolés sont propulsés dans des tubes étanches par un système combinant flux d'air pulsé et gravité (pente naturelle du terrain) jusqu’à l’unité de lombricompostage du campus. Le modèle économique repose sur les économies d'enlèvement de déchets générées pour le Crous et la valorisation de l'amendement organique pour les espaces verts et les maraîchers locaux. </w:t>
      </w:r>
    </w:p>
    <w:p w:rsidRPr="00287AD0" w:rsidR="00FF0A69" w:rsidP="00FF0A69" w:rsidRDefault="00FF0A69" w14:paraId="44A81763" w14:textId="77777777">
      <w:pPr>
        <w:spacing w:line="278" w:lineRule="auto"/>
        <w:rPr>
          <w:b/>
          <w:bCs/>
          <w:color w:val="153D63" w:themeColor="text2" w:themeTint="E6"/>
          <w:sz w:val="32"/>
          <w:szCs w:val="32"/>
        </w:rPr>
      </w:pPr>
      <w:r w:rsidRPr="00287AD0">
        <w:rPr>
          <w:b/>
          <w:bCs/>
          <w:color w:val="153D63" w:themeColor="text2" w:themeTint="E6"/>
          <w:sz w:val="32"/>
          <w:szCs w:val="32"/>
        </w:rPr>
        <w:t>3. Organisation au démarrage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3682"/>
        <w:gridCol w:w="3450"/>
      </w:tblGrid>
      <w:tr w:rsidRPr="00FF0A69" w:rsidR="00FF0A69" w:rsidTr="543C2AF0" w14:paraId="2F57B224" w14:textId="77777777">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7F9616DD" w14:textId="77777777">
            <w:pPr>
              <w:spacing w:line="278" w:lineRule="auto"/>
            </w:pPr>
            <w:r w:rsidRPr="00FF0A69">
              <w:rPr>
                <w:b/>
                <w:bCs/>
              </w:rPr>
              <w:t>Élément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3BF81DB0" w14:textId="77777777">
            <w:pPr>
              <w:spacing w:line="278" w:lineRule="auto"/>
            </w:pPr>
            <w:r w:rsidRPr="00FF0A69">
              <w:rPr>
                <w:b/>
                <w:bCs/>
              </w:rPr>
              <w:t>Choix envisagé</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3897B717" w14:textId="77777777">
            <w:pPr>
              <w:spacing w:line="278" w:lineRule="auto"/>
            </w:pPr>
            <w:r w:rsidRPr="00FF0A69">
              <w:rPr>
                <w:b/>
                <w:bCs/>
              </w:rPr>
              <w:t>Justification par rapport à la stratégie</w:t>
            </w:r>
          </w:p>
        </w:tc>
      </w:tr>
      <w:tr w:rsidRPr="00FF0A69" w:rsidR="00FF0A69" w:rsidTr="543C2AF0" w14:paraId="00D6A5D6"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5259DF2D" w14:textId="77777777">
            <w:pPr>
              <w:spacing w:line="278" w:lineRule="auto"/>
            </w:pPr>
            <w:r w:rsidRPr="00FF0A69">
              <w:rPr>
                <w:b/>
                <w:bCs/>
              </w:rPr>
              <w:t>Organigramme / rôles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5CD3A1DB" w14:textId="77777777">
            <w:pPr>
              <w:spacing w:line="278" w:lineRule="auto"/>
            </w:pPr>
            <w:r w:rsidRPr="00FF0A69">
              <w:t xml:space="preserve">Direction technique bicéphale : GC (Marie/Orphelie) pour le réseau souterrain, GE (Rania) pour les capteurs. GB (Lina/Melanie) sur la biologie du compost. IMDS/GP sur le pilotage.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3DF5269A" w14:textId="77777777">
            <w:pPr>
              <w:spacing w:line="278" w:lineRule="auto"/>
            </w:pPr>
            <w:r w:rsidRPr="00FF0A69">
              <w:t xml:space="preserve">La complexité technique du projet demande une répartition stricte entre le génie civil (tubes), le génie électrique (automates de tri) et la biologie (lombrics). </w:t>
            </w:r>
          </w:p>
        </w:tc>
      </w:tr>
      <w:tr w:rsidRPr="00FF0A69" w:rsidR="00FF0A69" w:rsidTr="543C2AF0" w14:paraId="5672C9E4" w14:textId="77777777">
        <w:trPr>
          <w:tblCellSpacing w:w="15" w:type="dxa"/>
          <w:trHeight w:val="1275"/>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45A4A595" w14:textId="77777777">
            <w:pPr>
              <w:spacing w:line="278" w:lineRule="auto"/>
            </w:pPr>
            <w:r w:rsidRPr="00FF0A69">
              <w:rPr>
                <w:b/>
                <w:bCs/>
              </w:rPr>
              <w:t>Localisation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587130BA" w14:textId="77777777">
            <w:pPr>
              <w:spacing w:line="278" w:lineRule="auto"/>
            </w:pPr>
            <w:r w:rsidRPr="00FF0A69">
              <w:t>Incubateur du campus de Polytech Clermont.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09672E95" w14:textId="77777777">
            <w:pPr>
              <w:spacing w:line="278" w:lineRule="auto"/>
            </w:pPr>
            <w:r w:rsidRPr="00FF0A69">
              <w:t>Proximité immédiate avec le terrain d'expérimentation pilote (le RU du campus) et les laboratoires de recherche.</w:t>
            </w:r>
          </w:p>
        </w:tc>
      </w:tr>
      <w:tr w:rsidRPr="00FF0A69" w:rsidR="00FF0A69" w:rsidTr="543C2AF0" w14:paraId="26346FC2"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0CB81FC6" w14:textId="77777777">
            <w:pPr>
              <w:spacing w:line="278" w:lineRule="auto"/>
            </w:pPr>
            <w:r w:rsidRPr="00FF0A69">
              <w:rPr>
                <w:b/>
                <w:bCs/>
              </w:rPr>
              <w:t>Statuts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0EA7B0A5" w14:textId="77777777">
            <w:pPr>
              <w:spacing w:line="278" w:lineRule="auto"/>
            </w:pPr>
            <w:r w:rsidRPr="00FF0A69">
              <w:t>SAS (Société par Actions Simplifiée) ou Structure de type Jeune Entreprise Universitaire (JEU).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523068E1" w14:textId="77777777">
            <w:pPr>
              <w:spacing w:line="278" w:lineRule="auto"/>
            </w:pPr>
            <w:r w:rsidRPr="00FF0A69">
              <w:t>Flexibilité de gouvernance pour faire entrer le Crous ou la collectivité au capital à terme, et éligibilité aux aides à l'innovation.</w:t>
            </w:r>
          </w:p>
        </w:tc>
      </w:tr>
      <w:tr w:rsidRPr="00FF0A69" w:rsidR="00FF0A69" w:rsidTr="543C2AF0" w14:paraId="679501BF"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44B02E28" w14:textId="77777777">
            <w:pPr>
              <w:spacing w:line="278" w:lineRule="auto"/>
            </w:pPr>
            <w:r w:rsidRPr="00FF0A69">
              <w:rPr>
                <w:b/>
                <w:bCs/>
              </w:rPr>
              <w:t>Partenaires clés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35E795B7" w14:textId="77777777">
            <w:pPr>
              <w:spacing w:line="278" w:lineRule="auto"/>
            </w:pPr>
            <w:r w:rsidRPr="00FF0A69">
              <w:t xml:space="preserve">Le Crous Auvergne, la direction des espaces verts du campus, l'ADEME, et des experts en lombricompostage industriel. </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10675783" w14:textId="77777777">
            <w:pPr>
              <w:spacing w:line="278" w:lineRule="auto"/>
            </w:pPr>
            <w:r w:rsidRPr="00FF0A69">
              <w:t xml:space="preserve">Le Crous est le client-partenaire indispensable ; l'ADEME apporte la crédibilité réglementaire et les subventions de départ. </w:t>
            </w:r>
          </w:p>
        </w:tc>
      </w:tr>
      <w:tr w:rsidRPr="00FF0A69" w:rsidR="00FF0A69" w:rsidTr="543C2AF0" w14:paraId="5C69AEA9"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5A70EF53" w14:textId="77777777">
            <w:pPr>
              <w:spacing w:line="278" w:lineRule="auto"/>
            </w:pPr>
            <w:r w:rsidRPr="00FF0A69">
              <w:rPr>
                <w:b/>
                <w:bCs/>
              </w:rPr>
              <w:t>Compétences manquantes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399A356B" w14:textId="77777777">
            <w:pPr>
              <w:spacing w:line="278" w:lineRule="auto"/>
            </w:pPr>
            <w:r w:rsidRPr="00FF0A69">
              <w:t>Expertise en aéraulique / dynamique des fluides pressurisés (ingénierie des tubes pneumatiques).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6C0023C8" w14:textId="77777777">
            <w:pPr>
              <w:spacing w:line="278" w:lineRule="auto"/>
            </w:pPr>
            <w:r w:rsidRPr="00FF0A69">
              <w:t>Nécessaire pour dimensionner précisément la puissance de propulsion d'air requise en fonction de la pente.</w:t>
            </w:r>
          </w:p>
        </w:tc>
      </w:tr>
    </w:tbl>
    <w:p w:rsidR="00FF0A69" w:rsidP="00FF0A69" w:rsidRDefault="00FF0A69" w14:paraId="14AD911E" w14:textId="77777777">
      <w:pPr>
        <w:spacing w:line="278" w:lineRule="auto"/>
        <w:rPr>
          <w:b/>
          <w:bCs/>
        </w:rPr>
      </w:pPr>
    </w:p>
    <w:p w:rsidRPr="00287AD0" w:rsidR="00FF0A69" w:rsidP="00FF0A69" w:rsidRDefault="00FF0A69" w14:paraId="5D5E5EBD" w14:textId="2A763A76">
      <w:pPr>
        <w:spacing w:line="278" w:lineRule="auto"/>
        <w:rPr>
          <w:b/>
          <w:bCs/>
          <w:color w:val="153D63" w:themeColor="text2" w:themeTint="E6"/>
          <w:sz w:val="32"/>
          <w:szCs w:val="32"/>
        </w:rPr>
      </w:pPr>
      <w:r w:rsidRPr="00287AD0">
        <w:rPr>
          <w:b/>
          <w:bCs/>
          <w:color w:val="153D63" w:themeColor="text2" w:themeTint="E6"/>
          <w:sz w:val="32"/>
          <w:szCs w:val="32"/>
        </w:rPr>
        <w:t>4. Planification de la mise en œuvre</w:t>
      </w:r>
    </w:p>
    <w:p w:rsidRPr="00FF0A69" w:rsidR="00FF0A69" w:rsidP="00FF0A69" w:rsidRDefault="00FF0A69" w14:paraId="08654E3B" w14:textId="7E6C3627">
      <w:pPr>
        <w:spacing w:line="278" w:lineRule="auto"/>
      </w:pPr>
      <w:r w:rsidRPr="00FF0A69">
        <w:t>Mois 1-3 : Finalisation R&amp;D (Modélisation des flux et dimensionnement des tubes)</w:t>
      </w:r>
    </w:p>
    <w:p w:rsidRPr="00FF0A69" w:rsidR="00FF0A69" w:rsidP="00FF0A69" w:rsidRDefault="00FF0A69" w14:paraId="3176F18B" w14:textId="675B19F4">
      <w:pPr>
        <w:spacing w:line="278" w:lineRule="auto"/>
      </w:pPr>
      <w:r w:rsidRPr="00FF0A69">
        <w:t>Mois 4-6 : Tests &amp; Validation Prototype (Maquette échelle 1:1 du trieur souterrain)</w:t>
      </w:r>
    </w:p>
    <w:p w:rsidRPr="00FF0A69" w:rsidR="00FF0A69" w:rsidP="00FF0A69" w:rsidRDefault="00FF0A69" w14:paraId="3B1D3F9B" w14:textId="49563426">
      <w:pPr>
        <w:spacing w:line="278" w:lineRule="auto"/>
      </w:pPr>
      <w:r w:rsidRPr="00FF0A69">
        <w:t>Mois 7-9 : Préparation Production (Sourcing des tubes et partenariat constructeur)</w:t>
      </w:r>
    </w:p>
    <w:p w:rsidRPr="00FF0A69" w:rsidR="00FF0A69" w:rsidP="00FF0A69" w:rsidRDefault="00FF0A69" w14:paraId="6C1DFC8A" w14:textId="675F1A46">
      <w:pPr>
        <w:spacing w:line="278" w:lineRule="auto"/>
      </w:pPr>
      <w:r w:rsidRPr="00FF0A69">
        <w:t>Mois 10-11</w:t>
      </w:r>
      <w:r>
        <w:t xml:space="preserve"> </w:t>
      </w:r>
      <w:r w:rsidRPr="00FF0A69">
        <w:t>: Préparation Marketing &amp; Commercialisation (Démarchage d'autres campus/Crous)</w:t>
      </w:r>
    </w:p>
    <w:p w:rsidRPr="00FF0A69" w:rsidR="00FF0A69" w:rsidP="00FF0A69" w:rsidRDefault="00FF0A69" w14:paraId="556E352A" w14:textId="64FD72FC">
      <w:pPr>
        <w:spacing w:line="278" w:lineRule="auto"/>
      </w:pPr>
      <w:r w:rsidRPr="00FF0A69">
        <w:t>Mois 12  : Première vente / Installation du client pilote (RU du Campus de Clermont)</w:t>
      </w:r>
    </w:p>
    <w:p w:rsidRPr="00287AD0" w:rsidR="00FF0A69" w:rsidP="00FF0A69" w:rsidRDefault="00FF0A69" w14:paraId="7FFA6FFC" w14:textId="77777777">
      <w:pPr>
        <w:spacing w:line="278" w:lineRule="auto"/>
        <w:rPr>
          <w:b/>
          <w:bCs/>
          <w:color w:val="153D63" w:themeColor="text2" w:themeTint="E6"/>
          <w:sz w:val="28"/>
          <w:szCs w:val="28"/>
        </w:rPr>
      </w:pPr>
      <w:r w:rsidRPr="00287AD0">
        <w:rPr>
          <w:b/>
          <w:bCs/>
          <w:color w:val="153D63" w:themeColor="text2" w:themeTint="E6"/>
          <w:sz w:val="28"/>
          <w:szCs w:val="28"/>
        </w:rPr>
        <w:t>Roadmap détaillée</w:t>
      </w:r>
    </w:p>
    <w:p w:rsidRPr="00FF0A69" w:rsidR="00FF0A69" w:rsidP="00FF0A69" w:rsidRDefault="00FF0A69" w14:paraId="45A70DAF" w14:textId="77777777">
      <w:pPr>
        <w:numPr>
          <w:ilvl w:val="0"/>
          <w:numId w:val="1"/>
        </w:numPr>
        <w:spacing w:line="278" w:lineRule="auto"/>
      </w:pPr>
      <w:r w:rsidRPr="00FF0A69">
        <w:rPr>
          <w:b/>
          <w:bCs/>
        </w:rPr>
        <w:t>Finalisation R&amp;D (Durée : 3 mois) :</w:t>
      </w:r>
      <w:r w:rsidRPr="00FF0A69">
        <w:t xml:space="preserve"> Modélisation numérique du comportement des biodéchets sous propulsion d'air. </w:t>
      </w:r>
      <w:r w:rsidRPr="00FF0A69">
        <w:rPr>
          <w:i/>
          <w:iCs/>
        </w:rPr>
        <w:t>Dépendance critique :</w:t>
      </w:r>
      <w:r w:rsidRPr="00FF0A69">
        <w:t xml:space="preserve"> Validation des coefficients de friction dans les tubes.</w:t>
      </w:r>
    </w:p>
    <w:p w:rsidRPr="00FF0A69" w:rsidR="00FF0A69" w:rsidP="00FF0A69" w:rsidRDefault="00FF0A69" w14:paraId="34C4C539" w14:textId="77777777">
      <w:pPr>
        <w:numPr>
          <w:ilvl w:val="0"/>
          <w:numId w:val="1"/>
        </w:numPr>
        <w:spacing w:line="278" w:lineRule="auto"/>
      </w:pPr>
      <w:r w:rsidRPr="00FF0A69">
        <w:rPr>
          <w:b/>
          <w:bCs/>
        </w:rPr>
        <w:t>Tests/validation prototype (Durée : 3 mois) :</w:t>
      </w:r>
      <w:r w:rsidRPr="00FF0A69">
        <w:t xml:space="preserve"> Construction d'un banc d'essai souterrain sur 20 mètres pour valider la séparation organique/non-organique et l'absence de blocage dans le tube.</w:t>
      </w:r>
    </w:p>
    <w:p w:rsidRPr="00FF0A69" w:rsidR="00FF0A69" w:rsidP="00FF0A69" w:rsidRDefault="00FF0A69" w14:paraId="7BCEDC97" w14:textId="77777777">
      <w:pPr>
        <w:numPr>
          <w:ilvl w:val="0"/>
          <w:numId w:val="1"/>
        </w:numPr>
        <w:spacing w:line="278" w:lineRule="auto"/>
      </w:pPr>
      <w:r w:rsidRPr="00FF0A69">
        <w:rPr>
          <w:b/>
          <w:bCs/>
        </w:rPr>
        <w:t>Préparation production (Durée : 3 mois) :</w:t>
      </w:r>
      <w:r w:rsidRPr="00FF0A69">
        <w:t xml:space="preserve"> Certification CE du système de tri et contractualisation avec un façonnier industriel pour les tubes pneumatiques.</w:t>
      </w:r>
    </w:p>
    <w:p w:rsidRPr="00FF0A69" w:rsidR="00FF0A69" w:rsidP="00FF0A69" w:rsidRDefault="00FF0A69" w14:paraId="49F19899" w14:textId="77777777">
      <w:pPr>
        <w:numPr>
          <w:ilvl w:val="0"/>
          <w:numId w:val="1"/>
        </w:numPr>
        <w:spacing w:line="278" w:lineRule="auto"/>
      </w:pPr>
      <w:r w:rsidRPr="00FF0A69">
        <w:rPr>
          <w:b/>
          <w:bCs/>
        </w:rPr>
        <w:t>Préparation commerciale (Durée : 2 mois) :</w:t>
      </w:r>
      <w:r w:rsidRPr="00FF0A69">
        <w:t xml:space="preserve"> Négociation du contrat d'exploitation longue durée avec le Crous pilote. </w:t>
      </w:r>
    </w:p>
    <w:p w:rsidRPr="00FF0A69" w:rsidR="00FF0A69" w:rsidP="00FF0A69" w:rsidRDefault="00FF0A69" w14:paraId="5477F647" w14:textId="77777777">
      <w:pPr>
        <w:numPr>
          <w:ilvl w:val="0"/>
          <w:numId w:val="1"/>
        </w:numPr>
        <w:spacing w:line="278" w:lineRule="auto"/>
      </w:pPr>
      <w:r w:rsidRPr="00FF0A69">
        <w:rPr>
          <w:b/>
          <w:bCs/>
        </w:rPr>
        <w:t>Financement (Transversal) :</w:t>
      </w:r>
      <w:r w:rsidRPr="00FF0A69">
        <w:t xml:space="preserve"> Dépôt du dossier d'aide à l'innovation Bpifrance au Mois 2.</w:t>
      </w:r>
    </w:p>
    <w:p w:rsidRPr="00287AD0" w:rsidR="00FF0A69" w:rsidP="543C2AF0" w:rsidRDefault="00FF0A69" w14:paraId="44AD4451" w14:textId="5A014671">
      <w:pPr>
        <w:spacing w:line="278" w:lineRule="auto"/>
        <w:rPr>
          <w:b w:val="1"/>
          <w:bCs w:val="1"/>
          <w:color w:val="153D63" w:themeColor="text2" w:themeTint="E6" w:themeShade="FF"/>
          <w:sz w:val="32"/>
          <w:szCs w:val="32"/>
        </w:rPr>
      </w:pPr>
    </w:p>
    <w:p w:rsidRPr="00287AD0" w:rsidR="00FF0A69" w:rsidP="00FF0A69" w:rsidRDefault="00FF0A69" w14:paraId="2F37F6E1" w14:textId="51AC9431">
      <w:pPr>
        <w:spacing w:line="278" w:lineRule="auto"/>
      </w:pPr>
      <w:r>
        <w:br w:type="page"/>
      </w:r>
    </w:p>
    <w:p w:rsidRPr="00287AD0" w:rsidR="00FF0A69" w:rsidP="543C2AF0" w:rsidRDefault="00FF0A69" w14:paraId="192FF3B0" w14:textId="2B0CC17E">
      <w:pPr>
        <w:pStyle w:val="Normal"/>
        <w:spacing w:line="278" w:lineRule="auto"/>
        <w:rPr>
          <w:b w:val="1"/>
          <w:bCs w:val="1"/>
          <w:color w:val="153D63" w:themeColor="text2" w:themeTint="E6"/>
          <w:sz w:val="32"/>
          <w:szCs w:val="32"/>
        </w:rPr>
      </w:pPr>
      <w:r w:rsidRPr="543C2AF0" w:rsidR="00FF0A69">
        <w:rPr>
          <w:b w:val="1"/>
          <w:bCs w:val="1"/>
          <w:color w:val="153D63" w:themeColor="text2" w:themeTint="E6" w:themeShade="FF"/>
          <w:sz w:val="32"/>
          <w:szCs w:val="32"/>
        </w:rPr>
        <w:t>5. Investissements R&amp;D avant ventes</w:t>
      </w:r>
    </w:p>
    <w:tbl>
      <w:tblPr>
        <w:tblW w:w="9227" w:type="dxa"/>
        <w:tblCellSpacing w:w="15" w:type="dxa"/>
        <w:tblCellMar>
          <w:top w:w="15" w:type="dxa"/>
          <w:left w:w="15" w:type="dxa"/>
          <w:bottom w:w="15" w:type="dxa"/>
          <w:right w:w="15" w:type="dxa"/>
        </w:tblCellMar>
        <w:tblLook w:val="04A0" w:firstRow="1" w:lastRow="0" w:firstColumn="1" w:lastColumn="0" w:noHBand="0" w:noVBand="1"/>
      </w:tblPr>
      <w:tblGrid>
        <w:gridCol w:w="2254"/>
        <w:gridCol w:w="3970"/>
        <w:gridCol w:w="1454"/>
        <w:gridCol w:w="1549"/>
      </w:tblGrid>
      <w:tr w:rsidRPr="00FF0A69" w:rsidR="00FF0A69" w:rsidTr="37AA90F6" w14:paraId="064B26F4" w14:textId="77777777">
        <w:trPr>
          <w:tblHeader/>
          <w:tblCellSpacing w:w="15" w:type="dxa"/>
        </w:trPr>
        <w:tc>
          <w:tcPr>
            <w:tcW w:w="222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5FA45E02" w14:textId="77777777">
            <w:pPr>
              <w:spacing w:line="278" w:lineRule="auto"/>
            </w:pPr>
            <w:r w:rsidRPr="00FF0A69">
              <w:rPr>
                <w:b/>
                <w:bCs/>
              </w:rPr>
              <w:t>Poste</w:t>
            </w:r>
          </w:p>
        </w:tc>
        <w:tc>
          <w:tcPr>
            <w:tcW w:w="40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3FB75FF9" w14:textId="77777777">
            <w:pPr>
              <w:spacing w:line="278" w:lineRule="auto"/>
            </w:pPr>
            <w:r w:rsidRPr="00FF0A69">
              <w:rPr>
                <w:b/>
                <w:bCs/>
              </w:rPr>
              <w:t>Pourquoi est-ce nécessaire ?</w:t>
            </w:r>
          </w:p>
        </w:tc>
        <w:tc>
          <w:tcPr>
            <w:tcW w:w="14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78E9A6D9" w14:textId="77777777">
            <w:pPr>
              <w:spacing w:line="278" w:lineRule="auto"/>
            </w:pPr>
            <w:r w:rsidRPr="00FF0A69">
              <w:rPr>
                <w:b/>
                <w:bCs/>
              </w:rPr>
              <w:t>Ordre de grandeur</w:t>
            </w:r>
          </w:p>
        </w:tc>
        <w:tc>
          <w:tcPr>
            <w:tcW w:w="152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36B2D967" w14:textId="77777777">
            <w:pPr>
              <w:spacing w:line="278" w:lineRule="auto"/>
            </w:pPr>
            <w:r w:rsidRPr="00FF0A69">
              <w:rPr>
                <w:b/>
                <w:bCs/>
              </w:rPr>
              <w:t>Moment prévu</w:t>
            </w:r>
          </w:p>
        </w:tc>
      </w:tr>
      <w:tr w:rsidRPr="00FF0A69" w:rsidR="00FF0A69" w:rsidTr="37AA90F6" w14:paraId="7C51C140" w14:textId="77777777">
        <w:trPr>
          <w:tblCellSpacing w:w="15" w:type="dxa"/>
        </w:trPr>
        <w:tc>
          <w:tcPr>
            <w:tcW w:w="222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0C220CA6" w14:textId="77777777">
            <w:pPr>
              <w:spacing w:line="278" w:lineRule="auto"/>
            </w:pPr>
            <w:r w:rsidRPr="00FF0A69">
              <w:rPr>
                <w:b/>
                <w:bCs/>
              </w:rPr>
              <w:t>R&amp;D / développement technique</w:t>
            </w:r>
          </w:p>
        </w:tc>
        <w:tc>
          <w:tcPr>
            <w:tcW w:w="40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114C0404" w14:textId="77777777">
            <w:pPr>
              <w:spacing w:line="278" w:lineRule="auto"/>
            </w:pPr>
            <w:r w:rsidRPr="00FF0A69">
              <w:t>Développement des algorithmes de tri optique/mécanique souterrain et calculs de charge aéraulique.</w:t>
            </w:r>
          </w:p>
        </w:tc>
        <w:tc>
          <w:tcPr>
            <w:tcW w:w="14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2C42BA69" w14:textId="77777777">
            <w:pPr>
              <w:spacing w:line="278" w:lineRule="auto"/>
            </w:pPr>
            <w:r w:rsidRPr="00FF0A69">
              <w:rPr>
                <w:b/>
                <w:bCs/>
              </w:rPr>
              <w:t>30 k€</w:t>
            </w:r>
          </w:p>
        </w:tc>
        <w:tc>
          <w:tcPr>
            <w:tcW w:w="152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16F62763" w14:textId="77777777">
            <w:pPr>
              <w:spacing w:line="278" w:lineRule="auto"/>
            </w:pPr>
            <w:r w:rsidRPr="00FF0A69">
              <w:t>Mois 1 à 3</w:t>
            </w:r>
          </w:p>
        </w:tc>
      </w:tr>
      <w:tr w:rsidRPr="00FF0A69" w:rsidR="00FF0A69" w:rsidTr="37AA90F6" w14:paraId="2AEBFED3" w14:textId="77777777">
        <w:trPr>
          <w:tblCellSpacing w:w="15" w:type="dxa"/>
        </w:trPr>
        <w:tc>
          <w:tcPr>
            <w:tcW w:w="222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676FAE9B" w14:textId="77777777">
            <w:pPr>
              <w:spacing w:line="278" w:lineRule="auto"/>
            </w:pPr>
            <w:r w:rsidRPr="00FF0A69">
              <w:rPr>
                <w:b/>
                <w:bCs/>
              </w:rPr>
              <w:t>Prototype / maquette / POC</w:t>
            </w:r>
          </w:p>
        </w:tc>
        <w:tc>
          <w:tcPr>
            <w:tcW w:w="40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428A61FA" w14:textId="77777777">
            <w:pPr>
              <w:spacing w:line="278" w:lineRule="auto"/>
            </w:pPr>
            <w:r w:rsidRPr="00FF0A69">
              <w:t>Achat des pompes à air, capteurs de tri automatique et tuyauterie industrielle pour le démonstrateur.</w:t>
            </w:r>
          </w:p>
        </w:tc>
        <w:tc>
          <w:tcPr>
            <w:tcW w:w="14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51DD7C5A" w14:textId="77777777">
            <w:pPr>
              <w:spacing w:line="278" w:lineRule="auto"/>
            </w:pPr>
            <w:r w:rsidRPr="00FF0A69">
              <w:rPr>
                <w:b/>
                <w:bCs/>
              </w:rPr>
              <w:t>40 k€</w:t>
            </w:r>
          </w:p>
        </w:tc>
        <w:tc>
          <w:tcPr>
            <w:tcW w:w="152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38F85BF1" w14:textId="77777777">
            <w:pPr>
              <w:spacing w:line="278" w:lineRule="auto"/>
            </w:pPr>
            <w:r w:rsidRPr="00FF0A69">
              <w:t>Mois 3 à 5</w:t>
            </w:r>
          </w:p>
        </w:tc>
      </w:tr>
      <w:tr w:rsidRPr="00FF0A69" w:rsidR="00FF0A69" w:rsidTr="37AA90F6" w14:paraId="1A2EF580" w14:textId="77777777">
        <w:trPr>
          <w:tblCellSpacing w:w="15" w:type="dxa"/>
        </w:trPr>
        <w:tc>
          <w:tcPr>
            <w:tcW w:w="222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3A9BA910" w14:textId="77777777">
            <w:pPr>
              <w:spacing w:line="278" w:lineRule="auto"/>
            </w:pPr>
            <w:r w:rsidRPr="00FF0A69">
              <w:rPr>
                <w:b/>
                <w:bCs/>
              </w:rPr>
              <w:t>Tests, validation, conformité</w:t>
            </w:r>
          </w:p>
        </w:tc>
        <w:tc>
          <w:tcPr>
            <w:tcW w:w="40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00B19E70" w14:textId="77777777">
            <w:pPr>
              <w:spacing w:line="278" w:lineRule="auto"/>
            </w:pPr>
            <w:r w:rsidRPr="00FF0A69">
              <w:t>Analyses biologiques du lombricompost (validation de l'absence de pathogènes) et tests d'étanchéité sonore/olfactive.</w:t>
            </w:r>
          </w:p>
        </w:tc>
        <w:tc>
          <w:tcPr>
            <w:tcW w:w="14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3917D713" w14:textId="77777777">
            <w:pPr>
              <w:spacing w:line="278" w:lineRule="auto"/>
            </w:pPr>
            <w:r w:rsidRPr="00FF0A69">
              <w:rPr>
                <w:b/>
                <w:bCs/>
              </w:rPr>
              <w:t>15 k€</w:t>
            </w:r>
          </w:p>
        </w:tc>
        <w:tc>
          <w:tcPr>
            <w:tcW w:w="152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62A2CA12" w14:textId="77777777">
            <w:pPr>
              <w:spacing w:line="278" w:lineRule="auto"/>
            </w:pPr>
            <w:r w:rsidRPr="00FF0A69">
              <w:t>Mois 5 à 7</w:t>
            </w:r>
          </w:p>
        </w:tc>
      </w:tr>
      <w:tr w:rsidRPr="00FF0A69" w:rsidR="00FF0A69" w:rsidTr="37AA90F6" w14:paraId="16BEB4EC" w14:textId="77777777">
        <w:trPr>
          <w:tblCellSpacing w:w="15" w:type="dxa"/>
        </w:trPr>
        <w:tc>
          <w:tcPr>
            <w:tcW w:w="222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168CE4A1" w14:textId="77777777">
            <w:pPr>
              <w:spacing w:line="278" w:lineRule="auto"/>
            </w:pPr>
            <w:r w:rsidRPr="00FF0A69">
              <w:rPr>
                <w:b/>
                <w:bCs/>
              </w:rPr>
              <w:t>Protection de l'innovation</w:t>
            </w:r>
          </w:p>
        </w:tc>
        <w:tc>
          <w:tcPr>
            <w:tcW w:w="40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362B9FA6" w14:textId="77777777">
            <w:pPr>
              <w:spacing w:line="278" w:lineRule="auto"/>
            </w:pPr>
            <w:r w:rsidRPr="00FF0A69">
              <w:t>Dépôt de brevet sur l'architecture spécifique du trieur souterrain couplé au transport pneumatique gravitaire.</w:t>
            </w:r>
          </w:p>
        </w:tc>
        <w:tc>
          <w:tcPr>
            <w:tcW w:w="14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42986EC2" w14:textId="77777777">
            <w:pPr>
              <w:spacing w:line="278" w:lineRule="auto"/>
            </w:pPr>
            <w:r w:rsidRPr="00FF0A69">
              <w:rPr>
                <w:b/>
                <w:bCs/>
              </w:rPr>
              <w:t>15 k€</w:t>
            </w:r>
          </w:p>
        </w:tc>
        <w:tc>
          <w:tcPr>
            <w:tcW w:w="152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6CDDDEF1" w14:textId="77777777">
            <w:pPr>
              <w:spacing w:line="278" w:lineRule="auto"/>
            </w:pPr>
            <w:r w:rsidRPr="00FF0A69">
              <w:t>Mois 6</w:t>
            </w:r>
          </w:p>
        </w:tc>
      </w:tr>
      <w:tr w:rsidRPr="00FF0A69" w:rsidR="00FF0A69" w:rsidTr="37AA90F6" w14:paraId="19700294" w14:textId="77777777">
        <w:trPr>
          <w:tblCellSpacing w:w="15" w:type="dxa"/>
        </w:trPr>
        <w:tc>
          <w:tcPr>
            <w:tcW w:w="222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2D2F6E78" w14:textId="77777777">
            <w:pPr>
              <w:spacing w:line="278" w:lineRule="auto"/>
            </w:pPr>
            <w:r w:rsidRPr="00FF0A69">
              <w:rPr>
                <w:b/>
                <w:bCs/>
              </w:rPr>
              <w:t>Total Investissements R&amp;D</w:t>
            </w:r>
          </w:p>
        </w:tc>
        <w:tc>
          <w:tcPr>
            <w:tcW w:w="40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0FADB5EE" w14:textId="77777777">
            <w:pPr>
              <w:spacing w:line="278" w:lineRule="auto"/>
            </w:pPr>
            <w:r w:rsidRPr="00FF0A69">
              <w:rPr>
                <w:b/>
                <w:bCs/>
              </w:rPr>
              <w:t>Sécuriser la viabilité technique avant travaux lourds.</w:t>
            </w:r>
          </w:p>
        </w:tc>
        <w:tc>
          <w:tcPr>
            <w:tcW w:w="14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1629381E" w14:textId="77777777">
            <w:pPr>
              <w:spacing w:line="278" w:lineRule="auto"/>
            </w:pPr>
            <w:r w:rsidRPr="00FF0A69">
              <w:rPr>
                <w:b/>
                <w:bCs/>
              </w:rPr>
              <w:t>100 k€</w:t>
            </w:r>
          </w:p>
        </w:tc>
        <w:tc>
          <w:tcPr>
            <w:tcW w:w="152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FF0A69" w:rsidR="00FF0A69" w:rsidP="00FF0A69" w:rsidRDefault="00FF0A69" w14:paraId="465A8368" w14:textId="77777777">
            <w:pPr>
              <w:spacing w:line="278" w:lineRule="auto"/>
            </w:pPr>
            <w:r w:rsidRPr="00FF0A69">
              <w:t>—</w:t>
            </w:r>
          </w:p>
        </w:tc>
      </w:tr>
    </w:tbl>
    <w:p w:rsidR="00FF0A69" w:rsidP="00FF0A69" w:rsidRDefault="00FF0A69" w14:paraId="7AA0FCD5" w14:textId="77777777">
      <w:pPr>
        <w:spacing w:line="278" w:lineRule="auto"/>
        <w:rPr>
          <w:b/>
          <w:bCs/>
        </w:rPr>
      </w:pPr>
    </w:p>
    <w:p w:rsidRPr="00287AD0" w:rsidR="00FF0A69" w:rsidP="00FF0A69" w:rsidRDefault="00FF0A69" w14:paraId="791F9A6A" w14:textId="6A31268E">
      <w:pPr>
        <w:spacing w:line="278" w:lineRule="auto"/>
        <w:rPr>
          <w:b/>
          <w:bCs/>
          <w:color w:val="153D63" w:themeColor="text2" w:themeTint="E6"/>
          <w:sz w:val="32"/>
          <w:szCs w:val="32"/>
        </w:rPr>
      </w:pPr>
      <w:r w:rsidRPr="00287AD0">
        <w:rPr>
          <w:b/>
          <w:bCs/>
          <w:color w:val="153D63" w:themeColor="text2" w:themeTint="E6"/>
          <w:sz w:val="32"/>
          <w:szCs w:val="32"/>
        </w:rPr>
        <w:t>6. Financement au fil du temps</w:t>
      </w:r>
    </w:p>
    <w:p w:rsidRPr="00FF0A69" w:rsidR="00FF0A69" w:rsidP="00FF0A69" w:rsidRDefault="00FF0A69" w14:paraId="4C73CC9E" w14:textId="77777777">
      <w:pPr>
        <w:numPr>
          <w:ilvl w:val="0"/>
          <w:numId w:val="2"/>
        </w:numPr>
        <w:spacing w:line="278" w:lineRule="auto"/>
      </w:pPr>
      <w:r w:rsidRPr="00FF0A69">
        <w:rPr>
          <w:b/>
          <w:bCs/>
        </w:rPr>
        <w:t>Phase de Démarrage (Besoin : 20 k€) :</w:t>
      </w:r>
      <w:r w:rsidRPr="00FF0A69">
        <w:t xml:space="preserve"> Financement par les fonds propres des fondateurs, bourses d'incubation régionales et prêt d'honneur. </w:t>
      </w:r>
      <w:r w:rsidRPr="00FF0A69">
        <w:rPr>
          <w:i/>
          <w:iCs/>
        </w:rPr>
        <w:t>Point de vigilance :</w:t>
      </w:r>
      <w:r w:rsidRPr="00FF0A69">
        <w:t xml:space="preserve"> Conserver une trésorerie minimale pour les premiers achats de matériel informatique.</w:t>
      </w:r>
    </w:p>
    <w:p w:rsidRPr="00FF0A69" w:rsidR="00FF0A69" w:rsidP="00FF0A69" w:rsidRDefault="00FF0A69" w14:paraId="117DA9D6" w14:textId="77777777">
      <w:pPr>
        <w:numPr>
          <w:ilvl w:val="0"/>
          <w:numId w:val="2"/>
        </w:numPr>
        <w:spacing w:line="278" w:lineRule="auto"/>
      </w:pPr>
      <w:r w:rsidRPr="00FF0A69">
        <w:rPr>
          <w:b/>
          <w:bCs/>
        </w:rPr>
        <w:t>Phase de Finalisation R&amp;D (Besoin : 80 k€) :</w:t>
      </w:r>
      <w:r w:rsidRPr="00FF0A69">
        <w:t xml:space="preserve"> Subventions ADEME (fonds économie circulaire) et subvention d'innovation Bpifrance. </w:t>
      </w:r>
      <w:r w:rsidRPr="00FF0A69">
        <w:rPr>
          <w:i/>
          <w:iCs/>
        </w:rPr>
        <w:t>Point de vigilance :</w:t>
      </w:r>
      <w:r w:rsidRPr="00FF0A69">
        <w:t xml:space="preserve"> Les délais de déblocage des subventions publiques peuvent créer des tensions de trésorerie.</w:t>
      </w:r>
    </w:p>
    <w:p w:rsidRPr="00FF0A69" w:rsidR="00FF0A69" w:rsidP="00FF0A69" w:rsidRDefault="00FF0A69" w14:paraId="1CE92174" w14:textId="77777777">
      <w:pPr>
        <w:numPr>
          <w:ilvl w:val="0"/>
          <w:numId w:val="2"/>
        </w:numPr>
        <w:spacing w:line="278" w:lineRule="auto"/>
      </w:pPr>
      <w:r w:rsidRPr="00FF0A69">
        <w:rPr>
          <w:b/>
          <w:bCs/>
        </w:rPr>
        <w:t>Lancement commercial &amp; Déploiement pilote (Besoin : 150 k€) :</w:t>
      </w:r>
      <w:r w:rsidRPr="00FF0A69">
        <w:t xml:space="preserve"> Financement conjoint du Crous Auvergne et de la Région pour les travaux de voirie et d'intégration souterraine au RU. </w:t>
      </w:r>
      <w:r w:rsidRPr="00FF0A69">
        <w:rPr>
          <w:i/>
          <w:iCs/>
        </w:rPr>
        <w:t>Point de vigilance :</w:t>
      </w:r>
      <w:r w:rsidRPr="00FF0A69">
        <w:t xml:space="preserve"> Coût du génie civil sous-estimé en fonction de la nature du sous-sol du campus. </w:t>
      </w:r>
    </w:p>
    <w:p w:rsidRPr="00287AD0" w:rsidR="00FF0A69" w:rsidP="543C2AF0" w:rsidRDefault="00FF0A69" w14:paraId="4A5BD92A" w14:textId="3AD2A689">
      <w:pPr>
        <w:spacing w:line="278" w:lineRule="auto"/>
        <w:rPr>
          <w:b w:val="1"/>
          <w:bCs w:val="1"/>
          <w:color w:val="153D63" w:themeColor="text2" w:themeTint="E6" w:themeShade="FF"/>
          <w:sz w:val="32"/>
          <w:szCs w:val="32"/>
        </w:rPr>
      </w:pPr>
    </w:p>
    <w:p w:rsidRPr="00287AD0" w:rsidR="00FF0A69" w:rsidP="00FF0A69" w:rsidRDefault="00FF0A69" w14:paraId="0EC9CCD9" w14:textId="29C13677">
      <w:pPr>
        <w:spacing w:line="278" w:lineRule="auto"/>
      </w:pPr>
      <w:r>
        <w:br w:type="page"/>
      </w:r>
    </w:p>
    <w:p w:rsidRPr="00287AD0" w:rsidR="00FF0A69" w:rsidP="543C2AF0" w:rsidRDefault="00FF0A69" w14:paraId="36B52726" w14:textId="2EB12CED">
      <w:pPr>
        <w:pStyle w:val="Normal"/>
        <w:spacing w:line="278" w:lineRule="auto"/>
        <w:rPr>
          <w:b w:val="1"/>
          <w:bCs w:val="1"/>
          <w:color w:val="153D63" w:themeColor="text2" w:themeTint="E6"/>
          <w:sz w:val="32"/>
          <w:szCs w:val="32"/>
        </w:rPr>
      </w:pPr>
      <w:r w:rsidRPr="543C2AF0" w:rsidR="00FF0A69">
        <w:rPr>
          <w:b w:val="1"/>
          <w:bCs w:val="1"/>
          <w:color w:val="153D63" w:themeColor="text2" w:themeTint="E6" w:themeShade="FF"/>
          <w:sz w:val="32"/>
          <w:szCs w:val="32"/>
        </w:rPr>
        <w:t>7. Structure des charges fixes et variables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15"/>
        <w:gridCol w:w="3174"/>
        <w:gridCol w:w="4473"/>
      </w:tblGrid>
      <w:tr w:rsidRPr="00FF0A69" w:rsidR="00FF0A69" w:rsidTr="001D5FD5" w14:paraId="2F8C96F2" w14:textId="77777777">
        <w:trPr>
          <w:tblHeader/>
          <w:tblCellSpacing w:w="15" w:type="dxa"/>
        </w:trPr>
        <w:tc>
          <w:tcPr>
            <w:tcW w:w="0" w:type="auto"/>
            <w:shd w:val="clear" w:color="auto" w:fill="DAE9F7" w:themeFill="text2" w:themeFillTint="1A"/>
            <w:tcMar>
              <w:top w:w="120" w:type="dxa"/>
              <w:left w:w="180" w:type="dxa"/>
              <w:bottom w:w="120" w:type="dxa"/>
              <w:right w:w="180" w:type="dxa"/>
            </w:tcMar>
            <w:vAlign w:val="center"/>
            <w:hideMark/>
          </w:tcPr>
          <w:p w:rsidRPr="00FF0A69" w:rsidR="00FF0A69" w:rsidP="00FF0A69" w:rsidRDefault="00FF0A69" w14:paraId="5EABA5A2" w14:textId="77777777">
            <w:pPr>
              <w:spacing w:line="278" w:lineRule="auto"/>
            </w:pPr>
            <w:r w:rsidRPr="00FF0A69">
              <w:rPr>
                <w:b/>
                <w:bCs/>
              </w:rPr>
              <w:t>Type de charge</w:t>
            </w:r>
          </w:p>
        </w:tc>
        <w:tc>
          <w:tcPr>
            <w:tcW w:w="0" w:type="auto"/>
            <w:shd w:val="clear" w:color="auto" w:fill="DAE9F7" w:themeFill="text2" w:themeFillTint="1A"/>
            <w:tcMar>
              <w:top w:w="120" w:type="dxa"/>
              <w:left w:w="180" w:type="dxa"/>
              <w:bottom w:w="120" w:type="dxa"/>
              <w:right w:w="180" w:type="dxa"/>
            </w:tcMar>
            <w:vAlign w:val="center"/>
            <w:hideMark/>
          </w:tcPr>
          <w:p w:rsidRPr="00FF0A69" w:rsidR="00FF0A69" w:rsidP="00FF0A69" w:rsidRDefault="00FF0A69" w14:paraId="79FE26F8" w14:textId="3B0189FA">
            <w:pPr>
              <w:spacing w:line="278" w:lineRule="auto"/>
            </w:pPr>
            <w:r w:rsidRPr="00FF0A69">
              <w:rPr>
                <w:b/>
                <w:bCs/>
              </w:rPr>
              <w:t xml:space="preserve">Exemples dans votre projet </w:t>
            </w:r>
          </w:p>
        </w:tc>
        <w:tc>
          <w:tcPr>
            <w:tcW w:w="0" w:type="auto"/>
            <w:shd w:val="clear" w:color="auto" w:fill="DAE9F7" w:themeFill="text2" w:themeFillTint="1A"/>
            <w:tcMar>
              <w:top w:w="120" w:type="dxa"/>
              <w:left w:w="180" w:type="dxa"/>
              <w:bottom w:w="120" w:type="dxa"/>
              <w:right w:w="180" w:type="dxa"/>
            </w:tcMar>
            <w:vAlign w:val="center"/>
            <w:hideMark/>
          </w:tcPr>
          <w:p w:rsidRPr="00FF0A69" w:rsidR="00FF0A69" w:rsidP="00FF0A69" w:rsidRDefault="00FF0A69" w14:paraId="2629E03F" w14:textId="344AF764">
            <w:pPr>
              <w:spacing w:line="278" w:lineRule="auto"/>
            </w:pPr>
            <w:r w:rsidRPr="00FF0A69">
              <w:rPr>
                <w:b/>
                <w:bCs/>
              </w:rPr>
              <w:t xml:space="preserve">Conséquence en cas de faibles ventes </w:t>
            </w:r>
          </w:p>
        </w:tc>
      </w:tr>
      <w:tr w:rsidRPr="00FF0A69" w:rsidR="00FF0A69" w:rsidTr="001D5FD5" w14:paraId="466C18C6" w14:textId="77777777">
        <w:trPr>
          <w:tblCellSpacing w:w="15" w:type="dxa"/>
        </w:trPr>
        <w:tc>
          <w:tcPr>
            <w:tcW w:w="0" w:type="auto"/>
            <w:tcMar>
              <w:top w:w="120" w:type="dxa"/>
              <w:left w:w="180" w:type="dxa"/>
              <w:bottom w:w="120" w:type="dxa"/>
              <w:right w:w="180" w:type="dxa"/>
            </w:tcMar>
            <w:vAlign w:val="center"/>
            <w:hideMark/>
          </w:tcPr>
          <w:p w:rsidRPr="00FF0A69" w:rsidR="00FF0A69" w:rsidP="00FF0A69" w:rsidRDefault="00FF0A69" w14:paraId="3F879562" w14:textId="77777777">
            <w:pPr>
              <w:spacing w:line="278" w:lineRule="auto"/>
            </w:pPr>
            <w:r w:rsidRPr="00FF0A69">
              <w:rPr>
                <w:b/>
                <w:bCs/>
              </w:rPr>
              <w:t>Charges fixes</w:t>
            </w:r>
          </w:p>
        </w:tc>
        <w:tc>
          <w:tcPr>
            <w:tcW w:w="0" w:type="auto"/>
            <w:tcMar>
              <w:top w:w="120" w:type="dxa"/>
              <w:left w:w="180" w:type="dxa"/>
              <w:bottom w:w="120" w:type="dxa"/>
              <w:right w:w="180" w:type="dxa"/>
            </w:tcMar>
            <w:vAlign w:val="center"/>
            <w:hideMark/>
          </w:tcPr>
          <w:p w:rsidRPr="00FF0A69" w:rsidR="00FF0A69" w:rsidP="00FF0A69" w:rsidRDefault="00FF0A69" w14:paraId="4F7AB7C7" w14:textId="66A02BE0">
            <w:pPr>
              <w:spacing w:line="278" w:lineRule="auto"/>
            </w:pPr>
            <w:r w:rsidRPr="00FF0A69">
              <w:t>- Salaires de l'équipe technique (ingénieurs GB/GE/GC</w:t>
            </w:r>
            <w:r w:rsidR="00BC7AAE">
              <w:t>/GP/IMDS</w:t>
            </w:r>
            <w:r w:rsidRPr="00FF0A69">
              <w:t xml:space="preserve">) </w:t>
            </w:r>
          </w:p>
          <w:p w:rsidRPr="00FF0A69" w:rsidR="00FF0A69" w:rsidP="00FF0A69" w:rsidRDefault="00FF0A69" w14:paraId="31E92BB4" w14:textId="77777777">
            <w:pPr>
              <w:spacing w:line="278" w:lineRule="auto"/>
            </w:pPr>
            <w:r w:rsidRPr="00FF0A69">
              <w:br/>
            </w:r>
          </w:p>
          <w:p w:rsidRPr="00FF0A69" w:rsidR="00FF0A69" w:rsidP="00FF0A69" w:rsidRDefault="00FF0A69" w14:paraId="593E6D22" w14:textId="77777777">
            <w:pPr>
              <w:spacing w:line="278" w:lineRule="auto"/>
            </w:pPr>
            <w:r w:rsidRPr="00FF0A69">
              <w:t>- Assurances décennales (génie civil souterrain)</w:t>
            </w:r>
          </w:p>
          <w:p w:rsidRPr="00FF0A69" w:rsidR="00FF0A69" w:rsidP="00FF0A69" w:rsidRDefault="00FF0A69" w14:paraId="4AED9BE6" w14:textId="77777777">
            <w:pPr>
              <w:spacing w:line="278" w:lineRule="auto"/>
            </w:pPr>
            <w:r w:rsidRPr="00FF0A69">
              <w:br/>
            </w:r>
          </w:p>
          <w:p w:rsidRPr="00FF0A69" w:rsidR="00FF0A69" w:rsidP="00FF0A69" w:rsidRDefault="00FF0A69" w14:paraId="1882ABA3" w14:textId="77777777">
            <w:pPr>
              <w:spacing w:line="278" w:lineRule="auto"/>
            </w:pPr>
            <w:r w:rsidRPr="00FF0A69">
              <w:t>- Loyer des bureaux et serveurs de supervision data.</w:t>
            </w:r>
          </w:p>
        </w:tc>
        <w:tc>
          <w:tcPr>
            <w:tcW w:w="0" w:type="auto"/>
            <w:tcMar>
              <w:top w:w="120" w:type="dxa"/>
              <w:left w:w="180" w:type="dxa"/>
              <w:bottom w:w="120" w:type="dxa"/>
              <w:right w:w="180" w:type="dxa"/>
            </w:tcMar>
            <w:vAlign w:val="center"/>
            <w:hideMark/>
          </w:tcPr>
          <w:p w:rsidRPr="00FF0A69" w:rsidR="00FF0A69" w:rsidP="00FF0A69" w:rsidRDefault="00FF0A69" w14:paraId="67FF40F6" w14:textId="77777777">
            <w:pPr>
              <w:spacing w:line="278" w:lineRule="auto"/>
            </w:pPr>
            <w:r w:rsidRPr="00FF0A69">
              <w:t>Risque majeur d'asphyxie financière. Si les contrats de déploiement dans d'autres RU tardent, les frais de structure épuiseront rapidement la trésorerie disponible.</w:t>
            </w:r>
          </w:p>
        </w:tc>
      </w:tr>
      <w:tr w:rsidRPr="00FF0A69" w:rsidR="00FF0A69" w:rsidTr="001D5FD5" w14:paraId="4F851A2F" w14:textId="77777777">
        <w:trPr>
          <w:tblCellSpacing w:w="15" w:type="dxa"/>
        </w:trPr>
        <w:tc>
          <w:tcPr>
            <w:tcW w:w="0" w:type="auto"/>
            <w:tcMar>
              <w:top w:w="120" w:type="dxa"/>
              <w:left w:w="180" w:type="dxa"/>
              <w:bottom w:w="120" w:type="dxa"/>
              <w:right w:w="180" w:type="dxa"/>
            </w:tcMar>
            <w:vAlign w:val="center"/>
            <w:hideMark/>
          </w:tcPr>
          <w:p w:rsidRPr="00FF0A69" w:rsidR="00FF0A69" w:rsidP="00FF0A69" w:rsidRDefault="00FF0A69" w14:paraId="3BFF43FD" w14:textId="77777777">
            <w:pPr>
              <w:spacing w:line="278" w:lineRule="auto"/>
            </w:pPr>
            <w:r w:rsidRPr="00FF0A69">
              <w:rPr>
                <w:b/>
                <w:bCs/>
              </w:rPr>
              <w:t>Charges variables</w:t>
            </w:r>
          </w:p>
        </w:tc>
        <w:tc>
          <w:tcPr>
            <w:tcW w:w="0" w:type="auto"/>
            <w:tcMar>
              <w:top w:w="120" w:type="dxa"/>
              <w:left w:w="180" w:type="dxa"/>
              <w:bottom w:w="120" w:type="dxa"/>
              <w:right w:w="180" w:type="dxa"/>
            </w:tcMar>
            <w:vAlign w:val="center"/>
            <w:hideMark/>
          </w:tcPr>
          <w:p w:rsidRPr="00FF0A69" w:rsidR="00FF0A69" w:rsidP="00FF0A69" w:rsidRDefault="00FF0A69" w14:paraId="4AE01581" w14:textId="77777777">
            <w:pPr>
              <w:spacing w:line="278" w:lineRule="auto"/>
            </w:pPr>
            <w:r w:rsidRPr="00FF0A69">
              <w:t>- Achat des tubes pneumatiques et des modules de tri automatisés</w:t>
            </w:r>
          </w:p>
          <w:p w:rsidRPr="00FF0A69" w:rsidR="00FF0A69" w:rsidP="00FF0A69" w:rsidRDefault="00FF0A69" w14:paraId="11A5D27A" w14:textId="77777777">
            <w:pPr>
              <w:spacing w:line="278" w:lineRule="auto"/>
            </w:pPr>
            <w:r w:rsidRPr="00FF0A69">
              <w:br/>
            </w:r>
          </w:p>
          <w:p w:rsidRPr="00FF0A69" w:rsidR="00FF0A69" w:rsidP="00FF0A69" w:rsidRDefault="00FF0A69" w14:paraId="21885948" w14:textId="77777777">
            <w:pPr>
              <w:spacing w:line="278" w:lineRule="auto"/>
            </w:pPr>
            <w:r w:rsidRPr="00FF0A69">
              <w:t>- Prestation de terrassement/génie civil par site</w:t>
            </w:r>
          </w:p>
          <w:p w:rsidRPr="00FF0A69" w:rsidR="00FF0A69" w:rsidP="00FF0A69" w:rsidRDefault="00FF0A69" w14:paraId="06D5D329" w14:textId="77777777">
            <w:pPr>
              <w:spacing w:line="278" w:lineRule="auto"/>
            </w:pPr>
            <w:r w:rsidRPr="00FF0A69">
              <w:br/>
            </w:r>
          </w:p>
          <w:p w:rsidRPr="00FF0A69" w:rsidR="00FF0A69" w:rsidP="00FF0A69" w:rsidRDefault="00FF0A69" w14:paraId="5412819E" w14:textId="77777777">
            <w:pPr>
              <w:spacing w:line="278" w:lineRule="auto"/>
            </w:pPr>
            <w:r w:rsidRPr="00FF0A69">
              <w:t>- Population initiale de lombrics pour chaque nouvelle unité.</w:t>
            </w:r>
          </w:p>
        </w:tc>
        <w:tc>
          <w:tcPr>
            <w:tcW w:w="0" w:type="auto"/>
            <w:tcMar>
              <w:top w:w="120" w:type="dxa"/>
              <w:left w:w="180" w:type="dxa"/>
              <w:bottom w:w="120" w:type="dxa"/>
              <w:right w:w="180" w:type="dxa"/>
            </w:tcMar>
            <w:vAlign w:val="center"/>
            <w:hideMark/>
          </w:tcPr>
          <w:p w:rsidRPr="00FF0A69" w:rsidR="00FF0A69" w:rsidP="00FF0A69" w:rsidRDefault="00FF0A69" w14:paraId="65036D4D" w14:textId="77777777">
            <w:pPr>
              <w:spacing w:line="278" w:lineRule="auto"/>
            </w:pPr>
            <w:r w:rsidRPr="00FF0A69">
              <w:t>Faible impact sur le risque de faillite. Si aucune vente n'est réalisée, ces charges sont nulles car elles ne sont déclenchées qu'à la signature d'un chantier.</w:t>
            </w:r>
          </w:p>
        </w:tc>
      </w:tr>
    </w:tbl>
    <w:p w:rsidR="00FF0A69" w:rsidP="00FF0A69" w:rsidRDefault="00FF0A69" w14:paraId="10DBFE1B" w14:textId="77777777">
      <w:pPr>
        <w:spacing w:line="278" w:lineRule="auto"/>
        <w:rPr>
          <w:b/>
          <w:bCs/>
        </w:rPr>
      </w:pPr>
    </w:p>
    <w:p w:rsidRPr="00287AD0" w:rsidR="00FF0A69" w:rsidP="543C2AF0" w:rsidRDefault="00FF0A69" w14:paraId="0170E3DE" w14:textId="362A67C3">
      <w:pPr>
        <w:spacing w:line="278" w:lineRule="auto"/>
        <w:rPr>
          <w:b w:val="1"/>
          <w:bCs w:val="1"/>
          <w:color w:val="153D63" w:themeColor="text2" w:themeTint="E6" w:themeShade="FF"/>
          <w:sz w:val="32"/>
          <w:szCs w:val="32"/>
        </w:rPr>
      </w:pPr>
    </w:p>
    <w:p w:rsidRPr="00287AD0" w:rsidR="00FF0A69" w:rsidP="00FF0A69" w:rsidRDefault="00FF0A69" w14:paraId="42AECE77" w14:textId="383B194E">
      <w:pPr>
        <w:spacing w:line="278" w:lineRule="auto"/>
      </w:pPr>
      <w:r>
        <w:br w:type="page"/>
      </w:r>
    </w:p>
    <w:p w:rsidRPr="00287AD0" w:rsidR="00FF0A69" w:rsidP="543C2AF0" w:rsidRDefault="00FF0A69" w14:paraId="404A568A" w14:textId="5C1122DB">
      <w:pPr>
        <w:pStyle w:val="Normal"/>
        <w:spacing w:line="278" w:lineRule="auto"/>
        <w:rPr>
          <w:b w:val="1"/>
          <w:bCs w:val="1"/>
          <w:color w:val="153D63" w:themeColor="text2" w:themeTint="E6"/>
          <w:sz w:val="32"/>
          <w:szCs w:val="32"/>
        </w:rPr>
      </w:pPr>
      <w:r w:rsidRPr="543C2AF0" w:rsidR="00FF0A69">
        <w:rPr>
          <w:b w:val="1"/>
          <w:bCs w:val="1"/>
          <w:color w:val="153D63" w:themeColor="text2" w:themeTint="E6" w:themeShade="FF"/>
          <w:sz w:val="32"/>
          <w:szCs w:val="32"/>
        </w:rPr>
        <w:t>8. Analyse des risques de mise en œuvre</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73"/>
        <w:gridCol w:w="1418"/>
        <w:gridCol w:w="1043"/>
        <w:gridCol w:w="3259"/>
        <w:gridCol w:w="1269"/>
      </w:tblGrid>
      <w:tr w:rsidRPr="00FF0A69" w:rsidR="00FF0A69" w:rsidTr="001D5FD5" w14:paraId="00244E38" w14:textId="77777777">
        <w:trPr>
          <w:tblHeader/>
          <w:tblCellSpacing w:w="15" w:type="dxa"/>
        </w:trPr>
        <w:tc>
          <w:tcPr>
            <w:tcW w:w="0" w:type="auto"/>
            <w:shd w:val="clear" w:color="auto" w:fill="DAE9F7" w:themeFill="text2" w:themeFillTint="1A"/>
            <w:tcMar>
              <w:top w:w="120" w:type="dxa"/>
              <w:left w:w="180" w:type="dxa"/>
              <w:bottom w:w="120" w:type="dxa"/>
              <w:right w:w="180" w:type="dxa"/>
            </w:tcMar>
            <w:vAlign w:val="center"/>
            <w:hideMark/>
          </w:tcPr>
          <w:p w:rsidRPr="00FF0A69" w:rsidR="00FF0A69" w:rsidP="00FF0A69" w:rsidRDefault="00FF0A69" w14:paraId="7EE6C153" w14:textId="77777777">
            <w:pPr>
              <w:spacing w:line="278" w:lineRule="auto"/>
            </w:pPr>
            <w:r w:rsidRPr="00FF0A69">
              <w:rPr>
                <w:b/>
                <w:bCs/>
              </w:rPr>
              <w:t>Type de risque</w:t>
            </w:r>
          </w:p>
        </w:tc>
        <w:tc>
          <w:tcPr>
            <w:tcW w:w="0" w:type="auto"/>
            <w:shd w:val="clear" w:color="auto" w:fill="DAE9F7" w:themeFill="text2" w:themeFillTint="1A"/>
            <w:tcMar>
              <w:top w:w="120" w:type="dxa"/>
              <w:left w:w="180" w:type="dxa"/>
              <w:bottom w:w="120" w:type="dxa"/>
              <w:right w:w="180" w:type="dxa"/>
            </w:tcMar>
            <w:vAlign w:val="center"/>
            <w:hideMark/>
          </w:tcPr>
          <w:p w:rsidRPr="00FF0A69" w:rsidR="00FF0A69" w:rsidP="00FF0A69" w:rsidRDefault="00FF0A69" w14:paraId="75937B25" w14:textId="77777777">
            <w:pPr>
              <w:spacing w:line="278" w:lineRule="auto"/>
            </w:pPr>
            <w:r w:rsidRPr="00FF0A69">
              <w:rPr>
                <w:b/>
                <w:bCs/>
              </w:rPr>
              <w:t>Probabilité</w:t>
            </w:r>
          </w:p>
        </w:tc>
        <w:tc>
          <w:tcPr>
            <w:tcW w:w="0" w:type="auto"/>
            <w:shd w:val="clear" w:color="auto" w:fill="DAE9F7" w:themeFill="text2" w:themeFillTint="1A"/>
            <w:tcMar>
              <w:top w:w="120" w:type="dxa"/>
              <w:left w:w="180" w:type="dxa"/>
              <w:bottom w:w="120" w:type="dxa"/>
              <w:right w:w="180" w:type="dxa"/>
            </w:tcMar>
            <w:vAlign w:val="center"/>
            <w:hideMark/>
          </w:tcPr>
          <w:p w:rsidRPr="00FF0A69" w:rsidR="00FF0A69" w:rsidP="00FF0A69" w:rsidRDefault="00FF0A69" w14:paraId="35E82D28" w14:textId="77777777">
            <w:pPr>
              <w:spacing w:line="278" w:lineRule="auto"/>
            </w:pPr>
            <w:r w:rsidRPr="00FF0A69">
              <w:rPr>
                <w:b/>
                <w:bCs/>
              </w:rPr>
              <w:t>Impact</w:t>
            </w:r>
          </w:p>
        </w:tc>
        <w:tc>
          <w:tcPr>
            <w:tcW w:w="0" w:type="auto"/>
            <w:shd w:val="clear" w:color="auto" w:fill="DAE9F7" w:themeFill="text2" w:themeFillTint="1A"/>
            <w:tcMar>
              <w:top w:w="120" w:type="dxa"/>
              <w:left w:w="180" w:type="dxa"/>
              <w:bottom w:w="120" w:type="dxa"/>
              <w:right w:w="180" w:type="dxa"/>
            </w:tcMar>
            <w:vAlign w:val="center"/>
            <w:hideMark/>
          </w:tcPr>
          <w:p w:rsidRPr="00FF0A69" w:rsidR="00FF0A69" w:rsidP="00FF0A69" w:rsidRDefault="00FF0A69" w14:paraId="271934F8" w14:textId="77777777">
            <w:pPr>
              <w:spacing w:line="278" w:lineRule="auto"/>
            </w:pPr>
            <w:r w:rsidRPr="00FF0A69">
              <w:rPr>
                <w:b/>
                <w:bCs/>
              </w:rPr>
              <w:t>Remédiation possible</w:t>
            </w:r>
          </w:p>
        </w:tc>
        <w:tc>
          <w:tcPr>
            <w:tcW w:w="0" w:type="auto"/>
            <w:shd w:val="clear" w:color="auto" w:fill="DAE9F7" w:themeFill="text2" w:themeFillTint="1A"/>
            <w:tcMar>
              <w:top w:w="120" w:type="dxa"/>
              <w:left w:w="180" w:type="dxa"/>
              <w:bottom w:w="120" w:type="dxa"/>
              <w:right w:w="180" w:type="dxa"/>
            </w:tcMar>
            <w:vAlign w:val="center"/>
            <w:hideMark/>
          </w:tcPr>
          <w:p w:rsidRPr="00FF0A69" w:rsidR="00FF0A69" w:rsidP="00FF0A69" w:rsidRDefault="00FF0A69" w14:paraId="0D11D4FB" w14:textId="77777777">
            <w:pPr>
              <w:spacing w:line="278" w:lineRule="auto"/>
            </w:pPr>
            <w:r w:rsidRPr="00FF0A69">
              <w:rPr>
                <w:b/>
                <w:bCs/>
              </w:rPr>
              <w:t>Chances de succès</w:t>
            </w:r>
          </w:p>
        </w:tc>
      </w:tr>
      <w:tr w:rsidRPr="00FF0A69" w:rsidR="00FF0A69" w:rsidTr="001D5FD5" w14:paraId="399709AC" w14:textId="77777777">
        <w:trPr>
          <w:tblCellSpacing w:w="15" w:type="dxa"/>
        </w:trPr>
        <w:tc>
          <w:tcPr>
            <w:tcW w:w="0" w:type="auto"/>
            <w:tcMar>
              <w:top w:w="120" w:type="dxa"/>
              <w:left w:w="180" w:type="dxa"/>
              <w:bottom w:w="120" w:type="dxa"/>
              <w:right w:w="180" w:type="dxa"/>
            </w:tcMar>
            <w:vAlign w:val="center"/>
            <w:hideMark/>
          </w:tcPr>
          <w:p w:rsidRPr="00FF0A69" w:rsidR="00FF0A69" w:rsidP="00FF0A69" w:rsidRDefault="00FF0A69" w14:paraId="0BD97431" w14:textId="77777777">
            <w:pPr>
              <w:spacing w:line="278" w:lineRule="auto"/>
            </w:pPr>
            <w:r w:rsidRPr="00FF0A69">
              <w:rPr>
                <w:b/>
                <w:bCs/>
              </w:rPr>
              <w:t>Technique</w:t>
            </w:r>
            <w:r w:rsidRPr="00FF0A69">
              <w:t xml:space="preserve"> (Bourrage dans les tubes)</w:t>
            </w:r>
          </w:p>
        </w:tc>
        <w:tc>
          <w:tcPr>
            <w:tcW w:w="0" w:type="auto"/>
            <w:tcMar>
              <w:top w:w="120" w:type="dxa"/>
              <w:left w:w="180" w:type="dxa"/>
              <w:bottom w:w="120" w:type="dxa"/>
              <w:right w:w="180" w:type="dxa"/>
            </w:tcMar>
            <w:vAlign w:val="center"/>
            <w:hideMark/>
          </w:tcPr>
          <w:p w:rsidRPr="00FF0A69" w:rsidR="00FF0A69" w:rsidP="00FF0A69" w:rsidRDefault="00FF0A69" w14:paraId="304B37F9" w14:textId="77777777">
            <w:pPr>
              <w:spacing w:line="278" w:lineRule="auto"/>
            </w:pPr>
            <w:r w:rsidRPr="00FF0A69">
              <w:t>Moyenne</w:t>
            </w:r>
          </w:p>
        </w:tc>
        <w:tc>
          <w:tcPr>
            <w:tcW w:w="0" w:type="auto"/>
            <w:tcMar>
              <w:top w:w="120" w:type="dxa"/>
              <w:left w:w="180" w:type="dxa"/>
              <w:bottom w:w="120" w:type="dxa"/>
              <w:right w:w="180" w:type="dxa"/>
            </w:tcMar>
            <w:vAlign w:val="center"/>
            <w:hideMark/>
          </w:tcPr>
          <w:p w:rsidRPr="00FF0A69" w:rsidR="00FF0A69" w:rsidP="00FF0A69" w:rsidRDefault="00FF0A69" w14:paraId="50AF07D7" w14:textId="77777777">
            <w:pPr>
              <w:spacing w:line="278" w:lineRule="auto"/>
            </w:pPr>
            <w:r w:rsidRPr="00FF0A69">
              <w:t>Fort</w:t>
            </w:r>
          </w:p>
        </w:tc>
        <w:tc>
          <w:tcPr>
            <w:tcW w:w="0" w:type="auto"/>
            <w:tcMar>
              <w:top w:w="120" w:type="dxa"/>
              <w:left w:w="180" w:type="dxa"/>
              <w:bottom w:w="120" w:type="dxa"/>
              <w:right w:w="180" w:type="dxa"/>
            </w:tcMar>
            <w:vAlign w:val="center"/>
            <w:hideMark/>
          </w:tcPr>
          <w:p w:rsidRPr="00FF0A69" w:rsidR="00FF0A69" w:rsidP="00FF0A69" w:rsidRDefault="00FF0A69" w14:paraId="65CC9D21" w14:textId="77777777">
            <w:pPr>
              <w:spacing w:line="278" w:lineRule="auto"/>
            </w:pPr>
            <w:r w:rsidRPr="00FF0A69">
              <w:t>Dimensionnement des tubes lisse en PEHD, injection d'air pulsé séquencée et trappes d'accès de curage tous les 10 mètres.</w:t>
            </w:r>
          </w:p>
        </w:tc>
        <w:tc>
          <w:tcPr>
            <w:tcW w:w="0" w:type="auto"/>
            <w:tcMar>
              <w:top w:w="120" w:type="dxa"/>
              <w:left w:w="180" w:type="dxa"/>
              <w:bottom w:w="120" w:type="dxa"/>
              <w:right w:w="180" w:type="dxa"/>
            </w:tcMar>
            <w:vAlign w:val="center"/>
            <w:hideMark/>
          </w:tcPr>
          <w:p w:rsidRPr="00FF0A69" w:rsidR="00FF0A69" w:rsidP="00FF0A69" w:rsidRDefault="00FF0A69" w14:paraId="75B4F139" w14:textId="77777777">
            <w:pPr>
              <w:spacing w:line="278" w:lineRule="auto"/>
            </w:pPr>
            <w:r w:rsidRPr="00FF0A69">
              <w:rPr>
                <w:b/>
                <w:bCs/>
              </w:rPr>
              <w:t>90%</w:t>
            </w:r>
          </w:p>
        </w:tc>
      </w:tr>
      <w:tr w:rsidRPr="00FF0A69" w:rsidR="00FF0A69" w:rsidTr="001D5FD5" w14:paraId="160E5390" w14:textId="77777777">
        <w:trPr>
          <w:tblCellSpacing w:w="15" w:type="dxa"/>
        </w:trPr>
        <w:tc>
          <w:tcPr>
            <w:tcW w:w="0" w:type="auto"/>
            <w:tcMar>
              <w:top w:w="120" w:type="dxa"/>
              <w:left w:w="180" w:type="dxa"/>
              <w:bottom w:w="120" w:type="dxa"/>
              <w:right w:w="180" w:type="dxa"/>
            </w:tcMar>
            <w:vAlign w:val="center"/>
            <w:hideMark/>
          </w:tcPr>
          <w:p w:rsidRPr="00FF0A69" w:rsidR="00FF0A69" w:rsidP="00FF0A69" w:rsidRDefault="00FF0A69" w14:paraId="725AEFF6" w14:textId="77777777">
            <w:pPr>
              <w:spacing w:line="278" w:lineRule="auto"/>
            </w:pPr>
            <w:r w:rsidRPr="00FF0A69">
              <w:rPr>
                <w:b/>
                <w:bCs/>
              </w:rPr>
              <w:t>Biologique</w:t>
            </w:r>
            <w:r w:rsidRPr="00FF0A69">
              <w:t xml:space="preserve"> (Mort du lombricompost)</w:t>
            </w:r>
          </w:p>
        </w:tc>
        <w:tc>
          <w:tcPr>
            <w:tcW w:w="0" w:type="auto"/>
            <w:tcMar>
              <w:top w:w="120" w:type="dxa"/>
              <w:left w:w="180" w:type="dxa"/>
              <w:bottom w:w="120" w:type="dxa"/>
              <w:right w:w="180" w:type="dxa"/>
            </w:tcMar>
            <w:vAlign w:val="center"/>
            <w:hideMark/>
          </w:tcPr>
          <w:p w:rsidRPr="00FF0A69" w:rsidR="00FF0A69" w:rsidP="00FF0A69" w:rsidRDefault="00FF0A69" w14:paraId="25B4A076" w14:textId="77777777">
            <w:pPr>
              <w:spacing w:line="278" w:lineRule="auto"/>
            </w:pPr>
            <w:r w:rsidRPr="00FF0A69">
              <w:t>Faible</w:t>
            </w:r>
          </w:p>
        </w:tc>
        <w:tc>
          <w:tcPr>
            <w:tcW w:w="0" w:type="auto"/>
            <w:tcMar>
              <w:top w:w="120" w:type="dxa"/>
              <w:left w:w="180" w:type="dxa"/>
              <w:bottom w:w="120" w:type="dxa"/>
              <w:right w:w="180" w:type="dxa"/>
            </w:tcMar>
            <w:vAlign w:val="center"/>
            <w:hideMark/>
          </w:tcPr>
          <w:p w:rsidRPr="00FF0A69" w:rsidR="00FF0A69" w:rsidP="00FF0A69" w:rsidRDefault="00FF0A69" w14:paraId="1D7C9E85" w14:textId="77777777">
            <w:pPr>
              <w:spacing w:line="278" w:lineRule="auto"/>
            </w:pPr>
            <w:r w:rsidRPr="00FF0A69">
              <w:t>Moyen</w:t>
            </w:r>
          </w:p>
        </w:tc>
        <w:tc>
          <w:tcPr>
            <w:tcW w:w="0" w:type="auto"/>
            <w:tcMar>
              <w:top w:w="120" w:type="dxa"/>
              <w:left w:w="180" w:type="dxa"/>
              <w:bottom w:w="120" w:type="dxa"/>
              <w:right w:w="180" w:type="dxa"/>
            </w:tcMar>
            <w:vAlign w:val="center"/>
            <w:hideMark/>
          </w:tcPr>
          <w:p w:rsidRPr="00FF0A69" w:rsidR="00FF0A69" w:rsidP="00FF0A69" w:rsidRDefault="00FF0A69" w14:paraId="50DA0B03" w14:textId="77777777">
            <w:pPr>
              <w:spacing w:line="278" w:lineRule="auto"/>
            </w:pPr>
            <w:r w:rsidRPr="00FF0A69">
              <w:t>Capteurs connectés de température et d'humidité dans le compost avec alerte SMS automatique si les seuils critiques sont atteints.</w:t>
            </w:r>
          </w:p>
        </w:tc>
        <w:tc>
          <w:tcPr>
            <w:tcW w:w="0" w:type="auto"/>
            <w:tcMar>
              <w:top w:w="120" w:type="dxa"/>
              <w:left w:w="180" w:type="dxa"/>
              <w:bottom w:w="120" w:type="dxa"/>
              <w:right w:w="180" w:type="dxa"/>
            </w:tcMar>
            <w:vAlign w:val="center"/>
            <w:hideMark/>
          </w:tcPr>
          <w:p w:rsidRPr="00FF0A69" w:rsidR="00FF0A69" w:rsidP="00FF0A69" w:rsidRDefault="00FF0A69" w14:paraId="57E562DB" w14:textId="77777777">
            <w:pPr>
              <w:spacing w:line="278" w:lineRule="auto"/>
            </w:pPr>
            <w:r w:rsidRPr="00FF0A69">
              <w:rPr>
                <w:b/>
                <w:bCs/>
              </w:rPr>
              <w:t>95%</w:t>
            </w:r>
          </w:p>
        </w:tc>
      </w:tr>
      <w:tr w:rsidRPr="00FF0A69" w:rsidR="00FF0A69" w:rsidTr="001D5FD5" w14:paraId="1FEA8C67" w14:textId="77777777">
        <w:trPr>
          <w:tblCellSpacing w:w="15" w:type="dxa"/>
        </w:trPr>
        <w:tc>
          <w:tcPr>
            <w:tcW w:w="0" w:type="auto"/>
            <w:tcMar>
              <w:top w:w="120" w:type="dxa"/>
              <w:left w:w="180" w:type="dxa"/>
              <w:bottom w:w="120" w:type="dxa"/>
              <w:right w:w="180" w:type="dxa"/>
            </w:tcMar>
            <w:vAlign w:val="center"/>
            <w:hideMark/>
          </w:tcPr>
          <w:p w:rsidRPr="00FF0A69" w:rsidR="00FF0A69" w:rsidP="00FF0A69" w:rsidRDefault="00FF0A69" w14:paraId="3EA87349" w14:textId="77777777">
            <w:pPr>
              <w:spacing w:line="278" w:lineRule="auto"/>
            </w:pPr>
            <w:r w:rsidRPr="00FF0A69">
              <w:rPr>
                <w:b/>
                <w:bCs/>
              </w:rPr>
              <w:t>Réglementaire</w:t>
            </w:r>
            <w:r w:rsidRPr="00FF0A69">
              <w:t xml:space="preserve"> (Refus sanitaire sur site)</w:t>
            </w:r>
          </w:p>
        </w:tc>
        <w:tc>
          <w:tcPr>
            <w:tcW w:w="0" w:type="auto"/>
            <w:tcMar>
              <w:top w:w="120" w:type="dxa"/>
              <w:left w:w="180" w:type="dxa"/>
              <w:bottom w:w="120" w:type="dxa"/>
              <w:right w:w="180" w:type="dxa"/>
            </w:tcMar>
            <w:vAlign w:val="center"/>
            <w:hideMark/>
          </w:tcPr>
          <w:p w:rsidRPr="00FF0A69" w:rsidR="00FF0A69" w:rsidP="00FF0A69" w:rsidRDefault="00FF0A69" w14:paraId="5F5B854B" w14:textId="77777777">
            <w:pPr>
              <w:spacing w:line="278" w:lineRule="auto"/>
            </w:pPr>
            <w:r w:rsidRPr="00FF0A69">
              <w:t>Moyenne</w:t>
            </w:r>
          </w:p>
        </w:tc>
        <w:tc>
          <w:tcPr>
            <w:tcW w:w="0" w:type="auto"/>
            <w:tcMar>
              <w:top w:w="120" w:type="dxa"/>
              <w:left w:w="180" w:type="dxa"/>
              <w:bottom w:w="120" w:type="dxa"/>
              <w:right w:w="180" w:type="dxa"/>
            </w:tcMar>
            <w:vAlign w:val="center"/>
            <w:hideMark/>
          </w:tcPr>
          <w:p w:rsidRPr="00FF0A69" w:rsidR="00FF0A69" w:rsidP="00FF0A69" w:rsidRDefault="00FF0A69" w14:paraId="55157CEA" w14:textId="77777777">
            <w:pPr>
              <w:spacing w:line="278" w:lineRule="auto"/>
            </w:pPr>
            <w:r w:rsidRPr="00FF0A69">
              <w:t>Fort</w:t>
            </w:r>
          </w:p>
        </w:tc>
        <w:tc>
          <w:tcPr>
            <w:tcW w:w="0" w:type="auto"/>
            <w:tcMar>
              <w:top w:w="120" w:type="dxa"/>
              <w:left w:w="180" w:type="dxa"/>
              <w:bottom w:w="120" w:type="dxa"/>
              <w:right w:w="180" w:type="dxa"/>
            </w:tcMar>
            <w:vAlign w:val="center"/>
            <w:hideMark/>
          </w:tcPr>
          <w:p w:rsidRPr="00FF0A69" w:rsidR="00FF0A69" w:rsidP="00FF0A69" w:rsidRDefault="00FF0A69" w14:paraId="346601B6" w14:textId="77777777">
            <w:pPr>
              <w:spacing w:line="278" w:lineRule="auto"/>
            </w:pPr>
            <w:r w:rsidRPr="00FF0A69">
              <w:t>Conception d'une unité de lombricompostage totalement hermétique, hors d'atteinte des nuisibles, respectant scrupuleusement les normes ADEME.</w:t>
            </w:r>
          </w:p>
        </w:tc>
        <w:tc>
          <w:tcPr>
            <w:tcW w:w="0" w:type="auto"/>
            <w:tcMar>
              <w:top w:w="120" w:type="dxa"/>
              <w:left w:w="180" w:type="dxa"/>
              <w:bottom w:w="120" w:type="dxa"/>
              <w:right w:w="180" w:type="dxa"/>
            </w:tcMar>
            <w:vAlign w:val="center"/>
            <w:hideMark/>
          </w:tcPr>
          <w:p w:rsidRPr="00FF0A69" w:rsidR="00FF0A69" w:rsidP="00FF0A69" w:rsidRDefault="00FF0A69" w14:paraId="485C81C0" w14:textId="77777777">
            <w:pPr>
              <w:spacing w:line="278" w:lineRule="auto"/>
            </w:pPr>
            <w:r w:rsidRPr="00FF0A69">
              <w:rPr>
                <w:b/>
                <w:bCs/>
              </w:rPr>
              <w:t>85%</w:t>
            </w:r>
          </w:p>
        </w:tc>
      </w:tr>
      <w:tr w:rsidRPr="00FF0A69" w:rsidR="00FF0A69" w:rsidTr="001D5FD5" w14:paraId="4F814395" w14:textId="77777777">
        <w:trPr>
          <w:tblCellSpacing w:w="15" w:type="dxa"/>
        </w:trPr>
        <w:tc>
          <w:tcPr>
            <w:tcW w:w="0" w:type="auto"/>
            <w:tcMar>
              <w:top w:w="120" w:type="dxa"/>
              <w:left w:w="180" w:type="dxa"/>
              <w:bottom w:w="120" w:type="dxa"/>
              <w:right w:w="180" w:type="dxa"/>
            </w:tcMar>
            <w:vAlign w:val="center"/>
            <w:hideMark/>
          </w:tcPr>
          <w:p w:rsidRPr="00FF0A69" w:rsidR="00FF0A69" w:rsidP="00FF0A69" w:rsidRDefault="00FF0A69" w14:paraId="0419033E" w14:textId="77777777">
            <w:pPr>
              <w:spacing w:line="278" w:lineRule="auto"/>
            </w:pPr>
            <w:r w:rsidRPr="00FF0A69">
              <w:rPr>
                <w:b/>
                <w:bCs/>
              </w:rPr>
              <w:t>Financier</w:t>
            </w:r>
            <w:r w:rsidRPr="00FF0A69">
              <w:t xml:space="preserve"> (Dépassement coût génie civil)</w:t>
            </w:r>
          </w:p>
        </w:tc>
        <w:tc>
          <w:tcPr>
            <w:tcW w:w="0" w:type="auto"/>
            <w:tcMar>
              <w:top w:w="120" w:type="dxa"/>
              <w:left w:w="180" w:type="dxa"/>
              <w:bottom w:w="120" w:type="dxa"/>
              <w:right w:w="180" w:type="dxa"/>
            </w:tcMar>
            <w:vAlign w:val="center"/>
            <w:hideMark/>
          </w:tcPr>
          <w:p w:rsidRPr="00FF0A69" w:rsidR="00FF0A69" w:rsidP="00FF0A69" w:rsidRDefault="00FF0A69" w14:paraId="4E9E215D" w14:textId="77777777">
            <w:pPr>
              <w:spacing w:line="278" w:lineRule="auto"/>
            </w:pPr>
            <w:r w:rsidRPr="00FF0A69">
              <w:t>Moyenne</w:t>
            </w:r>
          </w:p>
        </w:tc>
        <w:tc>
          <w:tcPr>
            <w:tcW w:w="0" w:type="auto"/>
            <w:tcMar>
              <w:top w:w="120" w:type="dxa"/>
              <w:left w:w="180" w:type="dxa"/>
              <w:bottom w:w="120" w:type="dxa"/>
              <w:right w:w="180" w:type="dxa"/>
            </w:tcMar>
            <w:vAlign w:val="center"/>
            <w:hideMark/>
          </w:tcPr>
          <w:p w:rsidRPr="00FF0A69" w:rsidR="00FF0A69" w:rsidP="00FF0A69" w:rsidRDefault="00FF0A69" w14:paraId="2372BD56" w14:textId="77777777">
            <w:pPr>
              <w:spacing w:line="278" w:lineRule="auto"/>
            </w:pPr>
            <w:r w:rsidRPr="00FF0A69">
              <w:t>Moyen</w:t>
            </w:r>
          </w:p>
        </w:tc>
        <w:tc>
          <w:tcPr>
            <w:tcW w:w="0" w:type="auto"/>
            <w:tcMar>
              <w:top w:w="120" w:type="dxa"/>
              <w:left w:w="180" w:type="dxa"/>
              <w:bottom w:w="120" w:type="dxa"/>
              <w:right w:w="180" w:type="dxa"/>
            </w:tcMar>
            <w:vAlign w:val="center"/>
            <w:hideMark/>
          </w:tcPr>
          <w:p w:rsidRPr="00FF0A69" w:rsidR="00FF0A69" w:rsidP="00FF0A69" w:rsidRDefault="00FF0A69" w14:paraId="03D649D6" w14:textId="77777777">
            <w:pPr>
              <w:spacing w:line="278" w:lineRule="auto"/>
            </w:pPr>
            <w:r w:rsidRPr="00FF0A69">
              <w:t>Réalisation d'études de sol (carottages géotechniques) systématiques avant chiffrage final au client.</w:t>
            </w:r>
          </w:p>
        </w:tc>
        <w:tc>
          <w:tcPr>
            <w:tcW w:w="0" w:type="auto"/>
            <w:tcMar>
              <w:top w:w="120" w:type="dxa"/>
              <w:left w:w="180" w:type="dxa"/>
              <w:bottom w:w="120" w:type="dxa"/>
              <w:right w:w="180" w:type="dxa"/>
            </w:tcMar>
            <w:vAlign w:val="center"/>
            <w:hideMark/>
          </w:tcPr>
          <w:p w:rsidRPr="00FF0A69" w:rsidR="00FF0A69" w:rsidP="00FF0A69" w:rsidRDefault="00FF0A69" w14:paraId="4EDB560E" w14:textId="77777777">
            <w:pPr>
              <w:spacing w:line="278" w:lineRule="auto"/>
            </w:pPr>
            <w:r w:rsidRPr="00FF0A69">
              <w:rPr>
                <w:b/>
                <w:bCs/>
              </w:rPr>
              <w:t>80%</w:t>
            </w:r>
          </w:p>
        </w:tc>
      </w:tr>
    </w:tbl>
    <w:p w:rsidR="00FF0A69" w:rsidP="00FF0A69" w:rsidRDefault="00FF0A69" w14:paraId="14774253" w14:textId="77777777">
      <w:pPr>
        <w:spacing w:line="278" w:lineRule="auto"/>
        <w:rPr>
          <w:b/>
          <w:bCs/>
        </w:rPr>
      </w:pPr>
    </w:p>
    <w:p w:rsidRPr="00287AD0" w:rsidR="00FF0A69" w:rsidP="00FF0A69" w:rsidRDefault="00FF0A69" w14:paraId="2D0A8592" w14:textId="62AFFC84">
      <w:pPr>
        <w:spacing w:line="278" w:lineRule="auto"/>
        <w:rPr>
          <w:b/>
          <w:bCs/>
          <w:color w:val="153D63" w:themeColor="text2" w:themeTint="E6"/>
          <w:sz w:val="32"/>
          <w:szCs w:val="32"/>
        </w:rPr>
      </w:pPr>
      <w:r w:rsidRPr="00287AD0">
        <w:rPr>
          <w:b/>
          <w:bCs/>
          <w:color w:val="153D63" w:themeColor="text2" w:themeTint="E6"/>
          <w:sz w:val="32"/>
          <w:szCs w:val="32"/>
        </w:rPr>
        <w:t>9. Arguments clés pour convaincre le jury</w:t>
      </w:r>
    </w:p>
    <w:p w:rsidRPr="00FF0A69" w:rsidR="00FF0A69" w:rsidP="00FF0A69" w:rsidRDefault="00FF0A69" w14:paraId="07B2EEBC" w14:textId="77777777">
      <w:pPr>
        <w:numPr>
          <w:ilvl w:val="0"/>
          <w:numId w:val="3"/>
        </w:numPr>
        <w:spacing w:line="278" w:lineRule="auto"/>
      </w:pPr>
      <w:r w:rsidRPr="00FF0A69">
        <w:rPr>
          <w:b/>
          <w:bCs/>
        </w:rPr>
        <w:t>Pourquoi cette stratégie est-elle crédible ?</w:t>
      </w:r>
      <w:r w:rsidRPr="00FF0A69">
        <w:t xml:space="preserve"> Elle supprime totalement le point de friction principal des projets de tri classiques : la mauvaise volonté ou l'erreur de tri des étudiants. Le tri est automatisé en sous-sol. De plus, le transport pneumatique supprime les nuisances visuelles et olfactives sur le campus. </w:t>
      </w:r>
    </w:p>
    <w:p w:rsidRPr="00FF0A69" w:rsidR="00FF0A69" w:rsidP="00FF0A69" w:rsidRDefault="00FF0A69" w14:paraId="767D5AB7" w14:textId="77777777">
      <w:pPr>
        <w:numPr>
          <w:ilvl w:val="0"/>
          <w:numId w:val="3"/>
        </w:numPr>
        <w:spacing w:line="278" w:lineRule="auto"/>
        <w:rPr/>
      </w:pPr>
      <w:r w:rsidRPr="543C2AF0" w:rsidR="00FF0A69">
        <w:rPr>
          <w:b w:val="1"/>
          <w:bCs w:val="1"/>
        </w:rPr>
        <w:t>Pourquoi l'équipe peut-elle l'exécuter ?</w:t>
      </w:r>
      <w:r w:rsidR="00FF0A69">
        <w:rPr/>
        <w:t xml:space="preserve"> Notre équipe réunit l'ensemble des compétences clés requises : des profils GB pour manager la santé du lombricompost, des profils GC/GE pour concevoir l'aspiration et les automates de tri, et des profils GP/IMDS pour piloter la viabilité économique et le déploiement. </w:t>
      </w:r>
    </w:p>
    <w:p w:rsidR="543C2AF0" w:rsidP="543C2AF0" w:rsidRDefault="543C2AF0" w14:paraId="097CCAA5" w14:textId="1761AFB6">
      <w:pPr>
        <w:spacing w:line="278" w:lineRule="auto"/>
      </w:pPr>
    </w:p>
    <w:p w:rsidRPr="00FF0A69" w:rsidR="00FF0A69" w:rsidP="00FF0A69" w:rsidRDefault="00FF0A69" w14:paraId="420E1611" w14:textId="77777777">
      <w:pPr>
        <w:numPr>
          <w:ilvl w:val="0"/>
          <w:numId w:val="3"/>
        </w:numPr>
        <w:spacing w:line="278" w:lineRule="auto"/>
      </w:pPr>
      <w:r w:rsidRPr="00FF0A69">
        <w:rPr>
          <w:b/>
          <w:bCs/>
        </w:rPr>
        <w:t>Pourquoi le besoin de financement est-il raisonnable ?</w:t>
      </w:r>
      <w:r w:rsidRPr="00FF0A69">
        <w:t xml:space="preserve"> L'infrastructure lourde (canalisations) s'amortit sur plus de 20 ans. Les gains économiques générés pour le Crous sur la taxe d'enlèvement des ordures ménagères permettent un retour sur investissement en moins de 4 ans. </w:t>
      </w:r>
    </w:p>
    <w:p w:rsidR="00FF0A69" w:rsidP="00FF0A69" w:rsidRDefault="00FF0A69" w14:paraId="3171601F" w14:textId="77777777">
      <w:pPr>
        <w:numPr>
          <w:ilvl w:val="0"/>
          <w:numId w:val="3"/>
        </w:numPr>
        <w:spacing w:line="278" w:lineRule="auto"/>
      </w:pPr>
      <w:r w:rsidRPr="00FF0A69">
        <w:rPr>
          <w:b/>
          <w:bCs/>
        </w:rPr>
        <w:t>Pourquoi le projet mérite-t-il d'être soutenu maintenant ?</w:t>
      </w:r>
      <w:r w:rsidRPr="00FF0A69">
        <w:t xml:space="preserve"> Depuis le 1er janvier 2024, la loi AGEC impose le tri des biodéchets à tous. Les universités doivent montrer l'exemple. Notre solution transforme une contrainte légale coûteuse en une vitrine technologique et écologique pour le campus. </w:t>
      </w:r>
    </w:p>
    <w:p w:rsidRPr="00FF0A69" w:rsidR="00287AD0" w:rsidP="00287AD0" w:rsidRDefault="00287AD0" w14:paraId="5471B60B" w14:textId="77777777">
      <w:pPr>
        <w:spacing w:line="278" w:lineRule="auto"/>
      </w:pPr>
    </w:p>
    <w:p w:rsidRPr="00287AD0" w:rsidR="00FF0A69" w:rsidP="00FF0A69" w:rsidRDefault="00FF0A69" w14:paraId="658145D9" w14:textId="77777777">
      <w:pPr>
        <w:spacing w:line="278" w:lineRule="auto"/>
        <w:rPr>
          <w:b/>
          <w:bCs/>
          <w:color w:val="153D63" w:themeColor="text2" w:themeTint="E6"/>
          <w:sz w:val="32"/>
          <w:szCs w:val="32"/>
        </w:rPr>
      </w:pPr>
      <w:r w:rsidRPr="00287AD0">
        <w:rPr>
          <w:b/>
          <w:bCs/>
          <w:color w:val="153D63" w:themeColor="text2" w:themeTint="E6"/>
          <w:sz w:val="32"/>
          <w:szCs w:val="32"/>
        </w:rPr>
        <w:t>10. Ce que nous retenons pour la suite du projet</w:t>
      </w:r>
    </w:p>
    <w:p w:rsidRPr="00FF0A69" w:rsidR="00FF0A69" w:rsidP="00FF0A69" w:rsidRDefault="00FF0A69" w14:paraId="2B6185B4" w14:textId="77777777">
      <w:pPr>
        <w:numPr>
          <w:ilvl w:val="0"/>
          <w:numId w:val="4"/>
        </w:numPr>
        <w:spacing w:line="278" w:lineRule="auto"/>
      </w:pPr>
      <w:r w:rsidRPr="00FF0A69">
        <w:rPr>
          <w:b/>
          <w:bCs/>
        </w:rPr>
        <w:t>Ce que nous avons appris :</w:t>
      </w:r>
      <w:r w:rsidRPr="00FF0A69">
        <w:t xml:space="preserve"> La planification démontre que le véritable défi n'est pas biologique (le lombricompostage est maîtrisé) mais réside dans l'ingénierie civile souterraine et la gestion aéraulique de la propulsion des déchets. </w:t>
      </w:r>
    </w:p>
    <w:p w:rsidRPr="00FF0A69" w:rsidR="00FF0A69" w:rsidP="00FF0A69" w:rsidRDefault="00FF0A69" w14:paraId="57530522" w14:textId="77777777">
      <w:pPr>
        <w:numPr>
          <w:ilvl w:val="0"/>
          <w:numId w:val="4"/>
        </w:numPr>
        <w:spacing w:line="278" w:lineRule="auto"/>
      </w:pPr>
      <w:r w:rsidRPr="00FF0A69">
        <w:rPr>
          <w:b/>
          <w:bCs/>
        </w:rPr>
        <w:t>Ce que cela change dans notre projet :</w:t>
      </w:r>
      <w:r w:rsidRPr="00FF0A69">
        <w:t xml:space="preserve"> Nous devons absolument sécuriser un partenariat précoce avec une entreprise de travaux publics / réseaux souterrains pour crédibiliser les coûts d'installation lors de la soutenance. </w:t>
      </w:r>
    </w:p>
    <w:p w:rsidRPr="00FF0A69" w:rsidR="00FF0A69" w:rsidP="00FF0A69" w:rsidRDefault="00FF0A69" w14:paraId="26F8D2C7" w14:textId="77777777">
      <w:pPr>
        <w:numPr>
          <w:ilvl w:val="0"/>
          <w:numId w:val="4"/>
        </w:numPr>
        <w:spacing w:line="278" w:lineRule="auto"/>
      </w:pPr>
      <w:r w:rsidRPr="00FF0A69">
        <w:rPr>
          <w:b/>
          <w:bCs/>
        </w:rPr>
        <w:t>Ce que nous devons faire ensuite :</w:t>
      </w:r>
      <w:r w:rsidRPr="00FF0A69">
        <w:t xml:space="preserve"> Finaliser les plans de l’objet-frontière (maquette du trieur automatisé et démonstrateur de tube transparent sous pression) pour le pitch final de vendredi. </w:t>
      </w:r>
    </w:p>
    <w:p w:rsidR="00574F4E" w:rsidRDefault="00574F4E" w14:paraId="16A752AF" w14:textId="77777777"/>
    <w:sectPr w:rsidR="00574F4E">
      <w:footerReference w:type="default" r:id="rId10"/>
      <w:pgSz w:w="11906" w:h="16838" w:orient="portrait"/>
      <w:pgMar w:top="1417" w:right="1417" w:bottom="1417" w:left="1417" w:header="708" w:footer="708" w:gutter="0"/>
      <w:cols w:space="708"/>
      <w:docGrid w:linePitch="360"/>
      <w:headerReference w:type="default" r:id="R714ed589862a4f9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04AA" w:rsidP="00FF0A69" w:rsidRDefault="00F204AA" w14:paraId="52A1A606" w14:textId="77777777">
      <w:pPr>
        <w:spacing w:after="0" w:line="240" w:lineRule="auto"/>
      </w:pPr>
      <w:r>
        <w:separator/>
      </w:r>
    </w:p>
  </w:endnote>
  <w:endnote w:type="continuationSeparator" w:id="0">
    <w:p w:rsidR="00F204AA" w:rsidP="00FF0A69" w:rsidRDefault="00F204AA" w14:paraId="0C22663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F0A69" w:rsidR="00FF0A69" w:rsidP="00FF0A69" w:rsidRDefault="00FF0A69" w14:paraId="3DBEEA06" w14:textId="3AFA3BD2">
    <w:pPr>
      <w:pStyle w:val="Footer"/>
    </w:pPr>
    <w:r w:rsidRPr="00FF0A69">
      <w:t>Bio-raffinerie universitaire — Veille Scientifique et Technique — Juin 2026 </w:t>
    </w:r>
  </w:p>
  <w:p w:rsidR="00FF0A69" w:rsidRDefault="00FF0A69" w14:paraId="0BD9F8E8" w14:textId="6DB7B07A">
    <w:pPr>
      <w:pStyle w:val="Footer"/>
    </w:pPr>
  </w:p>
  <w:p w:rsidR="00FF0A69" w:rsidRDefault="00FF0A69" w14:paraId="520EB61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04AA" w:rsidP="00FF0A69" w:rsidRDefault="00F204AA" w14:paraId="184ABD50" w14:textId="77777777">
      <w:pPr>
        <w:spacing w:after="0" w:line="240" w:lineRule="auto"/>
      </w:pPr>
      <w:r>
        <w:separator/>
      </w:r>
    </w:p>
  </w:footnote>
  <w:footnote w:type="continuationSeparator" w:id="0">
    <w:p w:rsidR="00F204AA" w:rsidP="00FF0A69" w:rsidRDefault="00F204AA" w14:paraId="6026182A"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543C2AF0" w:rsidTr="543C2AF0" w14:paraId="29D9663B">
      <w:trPr>
        <w:trHeight w:val="300"/>
      </w:trPr>
      <w:tc>
        <w:tcPr>
          <w:tcW w:w="3020" w:type="dxa"/>
          <w:tcMar/>
        </w:tcPr>
        <w:p w:rsidR="543C2AF0" w:rsidP="543C2AF0" w:rsidRDefault="543C2AF0" w14:paraId="46C49CC8" w14:textId="1934FE52">
          <w:pPr>
            <w:pStyle w:val="Header"/>
            <w:bidi w:val="0"/>
            <w:ind w:left="-115"/>
            <w:jc w:val="left"/>
          </w:pPr>
        </w:p>
      </w:tc>
      <w:tc>
        <w:tcPr>
          <w:tcW w:w="3020" w:type="dxa"/>
          <w:tcMar/>
        </w:tcPr>
        <w:p w:rsidR="543C2AF0" w:rsidP="543C2AF0" w:rsidRDefault="543C2AF0" w14:paraId="4F175E44" w14:textId="5334E44A">
          <w:pPr>
            <w:pStyle w:val="Header"/>
            <w:bidi w:val="0"/>
            <w:jc w:val="center"/>
          </w:pPr>
        </w:p>
      </w:tc>
      <w:tc>
        <w:tcPr>
          <w:tcW w:w="3020" w:type="dxa"/>
          <w:tcMar/>
        </w:tcPr>
        <w:p w:rsidR="543C2AF0" w:rsidP="543C2AF0" w:rsidRDefault="543C2AF0" w14:paraId="6A184E57" w14:textId="091F3475">
          <w:pPr>
            <w:pStyle w:val="Header"/>
            <w:bidi w:val="0"/>
            <w:ind w:right="-115"/>
            <w:jc w:val="right"/>
          </w:pPr>
        </w:p>
      </w:tc>
    </w:tr>
  </w:tbl>
  <w:p w:rsidR="543C2AF0" w:rsidP="543C2AF0" w:rsidRDefault="543C2AF0" w14:paraId="1B1E25E3" w14:textId="4E79807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37F47"/>
    <w:multiLevelType w:val="multilevel"/>
    <w:tmpl w:val="251C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D5449"/>
    <w:multiLevelType w:val="multilevel"/>
    <w:tmpl w:val="5E94E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3E6A69"/>
    <w:multiLevelType w:val="multilevel"/>
    <w:tmpl w:val="F86CD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DC004C0"/>
    <w:multiLevelType w:val="multilevel"/>
    <w:tmpl w:val="AEB01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948066">
    <w:abstractNumId w:val="1"/>
  </w:num>
  <w:num w:numId="2" w16cid:durableId="1200623884">
    <w:abstractNumId w:val="2"/>
  </w:num>
  <w:num w:numId="3" w16cid:durableId="1284967445">
    <w:abstractNumId w:val="3"/>
  </w:num>
  <w:num w:numId="4" w16cid:durableId="124083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A69"/>
    <w:rsid w:val="000F62CF"/>
    <w:rsid w:val="00191453"/>
    <w:rsid w:val="001D5FD5"/>
    <w:rsid w:val="00214174"/>
    <w:rsid w:val="00256748"/>
    <w:rsid w:val="00287AD0"/>
    <w:rsid w:val="00574F4E"/>
    <w:rsid w:val="006F493E"/>
    <w:rsid w:val="00A54C2C"/>
    <w:rsid w:val="00BB1B52"/>
    <w:rsid w:val="00BC7AAE"/>
    <w:rsid w:val="00DC6C5F"/>
    <w:rsid w:val="00E151F2"/>
    <w:rsid w:val="00EE72B2"/>
    <w:rsid w:val="00F204AA"/>
    <w:rsid w:val="00F83DCD"/>
    <w:rsid w:val="00FD5EEE"/>
    <w:rsid w:val="00FF0A69"/>
    <w:rsid w:val="08850F16"/>
    <w:rsid w:val="0BE69562"/>
    <w:rsid w:val="192A307C"/>
    <w:rsid w:val="37AA90F6"/>
    <w:rsid w:val="4B83C37F"/>
    <w:rsid w:val="53D699D0"/>
    <w:rsid w:val="543C2AF0"/>
    <w:rsid w:val="6C7993BE"/>
    <w:rsid w:val="797D1FE9"/>
    <w:rsid w:val="7E5B7F7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A72E5"/>
  <w15:chartTrackingRefBased/>
  <w15:docId w15:val="{78602DA7-055D-474D-BD5C-F614CC807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F0A69"/>
  </w:style>
  <w:style w:type="paragraph" w:styleId="Heading1">
    <w:name w:val="heading 1"/>
    <w:basedOn w:val="Normal"/>
    <w:next w:val="Normal"/>
    <w:link w:val="Heading1Char"/>
    <w:uiPriority w:val="9"/>
    <w:qFormat/>
    <w:rsid w:val="00FF0A69"/>
    <w:pPr>
      <w:keepNext/>
      <w:keepLines/>
      <w:spacing w:before="400" w:after="40" w:line="240" w:lineRule="auto"/>
      <w:outlineLvl w:val="0"/>
    </w:pPr>
    <w:rPr>
      <w:rFonts w:asciiTheme="majorHAnsi" w:hAnsiTheme="majorHAnsi" w:eastAsiaTheme="majorEastAsia"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FF0A69"/>
    <w:pPr>
      <w:keepNext/>
      <w:keepLines/>
      <w:spacing w:before="40" w:after="0" w:line="240" w:lineRule="auto"/>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A69"/>
    <w:pPr>
      <w:keepNext/>
      <w:keepLines/>
      <w:spacing w:before="40" w:after="0" w:line="240" w:lineRule="auto"/>
      <w:outlineLvl w:val="2"/>
    </w:pPr>
    <w:rPr>
      <w:rFonts w:asciiTheme="majorHAnsi" w:hAnsiTheme="maj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A69"/>
    <w:pPr>
      <w:keepNext/>
      <w:keepLines/>
      <w:spacing w:before="40" w:after="0"/>
      <w:outlineLvl w:val="3"/>
    </w:pPr>
    <w:rPr>
      <w:rFonts w:asciiTheme="majorHAnsi" w:hAnsiTheme="majorHAnsi" w:eastAsiaTheme="majorEastAsia"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FF0A69"/>
    <w:pPr>
      <w:keepNext/>
      <w:keepLines/>
      <w:spacing w:before="40" w:after="0"/>
      <w:outlineLvl w:val="4"/>
    </w:pPr>
    <w:rPr>
      <w:rFonts w:asciiTheme="majorHAnsi" w:hAnsiTheme="majorHAnsi" w:eastAsiaTheme="majorEastAsia" w:cstheme="majorBidi"/>
      <w:caps/>
      <w:color w:val="0F4761" w:themeColor="accent1" w:themeShade="BF"/>
    </w:rPr>
  </w:style>
  <w:style w:type="paragraph" w:styleId="Heading6">
    <w:name w:val="heading 6"/>
    <w:basedOn w:val="Normal"/>
    <w:next w:val="Normal"/>
    <w:link w:val="Heading6Char"/>
    <w:uiPriority w:val="9"/>
    <w:semiHidden/>
    <w:unhideWhenUsed/>
    <w:qFormat/>
    <w:rsid w:val="00FF0A69"/>
    <w:pPr>
      <w:keepNext/>
      <w:keepLines/>
      <w:spacing w:before="40" w:after="0"/>
      <w:outlineLvl w:val="5"/>
    </w:pPr>
    <w:rPr>
      <w:rFonts w:asciiTheme="majorHAnsi" w:hAnsiTheme="majorHAnsi" w:eastAsiaTheme="majorEastAsia"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FF0A69"/>
    <w:pPr>
      <w:keepNext/>
      <w:keepLines/>
      <w:spacing w:before="40" w:after="0"/>
      <w:outlineLvl w:val="6"/>
    </w:pPr>
    <w:rPr>
      <w:rFonts w:asciiTheme="majorHAnsi" w:hAnsiTheme="majorHAnsi" w:eastAsiaTheme="majorEastAsia" w:cstheme="majorBidi"/>
      <w:b/>
      <w:bCs/>
      <w:color w:val="0A2F41" w:themeColor="accent1" w:themeShade="80"/>
    </w:rPr>
  </w:style>
  <w:style w:type="paragraph" w:styleId="Heading8">
    <w:name w:val="heading 8"/>
    <w:basedOn w:val="Normal"/>
    <w:next w:val="Normal"/>
    <w:link w:val="Heading8Char"/>
    <w:uiPriority w:val="9"/>
    <w:semiHidden/>
    <w:unhideWhenUsed/>
    <w:qFormat/>
    <w:rsid w:val="00FF0A69"/>
    <w:pPr>
      <w:keepNext/>
      <w:keepLines/>
      <w:spacing w:before="40" w:after="0"/>
      <w:outlineLvl w:val="7"/>
    </w:pPr>
    <w:rPr>
      <w:rFonts w:asciiTheme="majorHAnsi" w:hAnsiTheme="majorHAnsi" w:eastAsiaTheme="majorEastAsia"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FF0A69"/>
    <w:pPr>
      <w:keepNext/>
      <w:keepLines/>
      <w:spacing w:before="40" w:after="0"/>
      <w:outlineLvl w:val="8"/>
    </w:pPr>
    <w:rPr>
      <w:rFonts w:asciiTheme="majorHAnsi" w:hAnsiTheme="majorHAnsi" w:eastAsiaTheme="majorEastAsia" w:cstheme="majorBidi"/>
      <w:i/>
      <w:iCs/>
      <w:color w:val="0A2F41" w:themeColor="accent1" w:themeShade="8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F0A69"/>
    <w:rPr>
      <w:rFonts w:asciiTheme="majorHAnsi" w:hAnsiTheme="majorHAnsi" w:eastAsiaTheme="majorEastAsia" w:cstheme="majorBidi"/>
      <w:color w:val="0A2F41" w:themeColor="accent1" w:themeShade="80"/>
      <w:sz w:val="36"/>
      <w:szCs w:val="36"/>
    </w:rPr>
  </w:style>
  <w:style w:type="character" w:styleId="Heading2Char" w:customStyle="1">
    <w:name w:val="Heading 2 Char"/>
    <w:basedOn w:val="DefaultParagraphFont"/>
    <w:link w:val="Heading2"/>
    <w:uiPriority w:val="9"/>
    <w:semiHidden/>
    <w:rsid w:val="00FF0A6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F0A69"/>
    <w:rPr>
      <w:rFonts w:asciiTheme="majorHAnsi" w:hAnsiTheme="maj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F0A69"/>
    <w:rPr>
      <w:rFonts w:asciiTheme="majorHAnsi" w:hAnsiTheme="majorHAnsi" w:eastAsiaTheme="majorEastAsia" w:cstheme="majorBidi"/>
      <w:color w:val="0F4761" w:themeColor="accent1" w:themeShade="BF"/>
      <w:sz w:val="24"/>
      <w:szCs w:val="24"/>
    </w:rPr>
  </w:style>
  <w:style w:type="character" w:styleId="Heading5Char" w:customStyle="1">
    <w:name w:val="Heading 5 Char"/>
    <w:basedOn w:val="DefaultParagraphFont"/>
    <w:link w:val="Heading5"/>
    <w:uiPriority w:val="9"/>
    <w:semiHidden/>
    <w:rsid w:val="00FF0A69"/>
    <w:rPr>
      <w:rFonts w:asciiTheme="majorHAnsi" w:hAnsiTheme="majorHAnsi" w:eastAsiaTheme="majorEastAsia" w:cstheme="majorBidi"/>
      <w:caps/>
      <w:color w:val="0F4761" w:themeColor="accent1" w:themeShade="BF"/>
    </w:rPr>
  </w:style>
  <w:style w:type="character" w:styleId="Heading6Char" w:customStyle="1">
    <w:name w:val="Heading 6 Char"/>
    <w:basedOn w:val="DefaultParagraphFont"/>
    <w:link w:val="Heading6"/>
    <w:uiPriority w:val="9"/>
    <w:semiHidden/>
    <w:rsid w:val="00FF0A69"/>
    <w:rPr>
      <w:rFonts w:asciiTheme="majorHAnsi" w:hAnsiTheme="majorHAnsi" w:eastAsiaTheme="majorEastAsia" w:cstheme="majorBidi"/>
      <w:i/>
      <w:iCs/>
      <w:caps/>
      <w:color w:val="0A2F41" w:themeColor="accent1" w:themeShade="80"/>
    </w:rPr>
  </w:style>
  <w:style w:type="character" w:styleId="Heading7Char" w:customStyle="1">
    <w:name w:val="Heading 7 Char"/>
    <w:basedOn w:val="DefaultParagraphFont"/>
    <w:link w:val="Heading7"/>
    <w:uiPriority w:val="9"/>
    <w:semiHidden/>
    <w:rsid w:val="00FF0A69"/>
    <w:rPr>
      <w:rFonts w:asciiTheme="majorHAnsi" w:hAnsiTheme="majorHAnsi" w:eastAsiaTheme="majorEastAsia" w:cstheme="majorBidi"/>
      <w:b/>
      <w:bCs/>
      <w:color w:val="0A2F41" w:themeColor="accent1" w:themeShade="80"/>
    </w:rPr>
  </w:style>
  <w:style w:type="character" w:styleId="Heading8Char" w:customStyle="1">
    <w:name w:val="Heading 8 Char"/>
    <w:basedOn w:val="DefaultParagraphFont"/>
    <w:link w:val="Heading8"/>
    <w:uiPriority w:val="9"/>
    <w:semiHidden/>
    <w:rsid w:val="00FF0A69"/>
    <w:rPr>
      <w:rFonts w:asciiTheme="majorHAnsi" w:hAnsiTheme="majorHAnsi" w:eastAsiaTheme="majorEastAsia" w:cstheme="majorBidi"/>
      <w:b/>
      <w:bCs/>
      <w:i/>
      <w:iCs/>
      <w:color w:val="0A2F41" w:themeColor="accent1" w:themeShade="80"/>
    </w:rPr>
  </w:style>
  <w:style w:type="character" w:styleId="Heading9Char" w:customStyle="1">
    <w:name w:val="Heading 9 Char"/>
    <w:basedOn w:val="DefaultParagraphFont"/>
    <w:link w:val="Heading9"/>
    <w:uiPriority w:val="9"/>
    <w:semiHidden/>
    <w:rsid w:val="00FF0A69"/>
    <w:rPr>
      <w:rFonts w:asciiTheme="majorHAnsi" w:hAnsiTheme="majorHAnsi" w:eastAsiaTheme="majorEastAsia" w:cstheme="majorBidi"/>
      <w:i/>
      <w:iCs/>
      <w:color w:val="0A2F41" w:themeColor="accent1" w:themeShade="80"/>
    </w:rPr>
  </w:style>
  <w:style w:type="paragraph" w:styleId="Title">
    <w:name w:val="Title"/>
    <w:basedOn w:val="Normal"/>
    <w:next w:val="Normal"/>
    <w:link w:val="TitleChar"/>
    <w:uiPriority w:val="10"/>
    <w:qFormat/>
    <w:rsid w:val="00FF0A69"/>
    <w:pPr>
      <w:spacing w:after="0" w:line="204" w:lineRule="auto"/>
      <w:contextualSpacing/>
    </w:pPr>
    <w:rPr>
      <w:rFonts w:asciiTheme="majorHAnsi" w:hAnsiTheme="majorHAnsi" w:eastAsiaTheme="majorEastAsia" w:cstheme="majorBidi"/>
      <w:caps/>
      <w:color w:val="0E2841" w:themeColor="text2"/>
      <w:spacing w:val="-15"/>
      <w:sz w:val="72"/>
      <w:szCs w:val="72"/>
    </w:rPr>
  </w:style>
  <w:style w:type="character" w:styleId="TitleChar" w:customStyle="1">
    <w:name w:val="Title Char"/>
    <w:basedOn w:val="DefaultParagraphFont"/>
    <w:link w:val="Title"/>
    <w:uiPriority w:val="10"/>
    <w:rsid w:val="00FF0A69"/>
    <w:rPr>
      <w:rFonts w:asciiTheme="majorHAnsi" w:hAnsiTheme="majorHAnsi" w:eastAsiaTheme="majorEastAsia" w:cstheme="majorBidi"/>
      <w:caps/>
      <w:color w:val="0E2841" w:themeColor="text2"/>
      <w:spacing w:val="-15"/>
      <w:sz w:val="72"/>
      <w:szCs w:val="72"/>
    </w:rPr>
  </w:style>
  <w:style w:type="paragraph" w:styleId="Subtitle">
    <w:name w:val="Subtitle"/>
    <w:basedOn w:val="Normal"/>
    <w:next w:val="Normal"/>
    <w:link w:val="SubtitleChar"/>
    <w:uiPriority w:val="11"/>
    <w:qFormat/>
    <w:rsid w:val="00FF0A69"/>
    <w:pPr>
      <w:numPr>
        <w:ilvl w:val="1"/>
      </w:numPr>
      <w:spacing w:after="240" w:line="240" w:lineRule="auto"/>
    </w:pPr>
    <w:rPr>
      <w:rFonts w:asciiTheme="majorHAnsi" w:hAnsiTheme="majorHAnsi" w:eastAsiaTheme="majorEastAsia" w:cstheme="majorBidi"/>
      <w:color w:val="156082" w:themeColor="accent1"/>
      <w:sz w:val="28"/>
      <w:szCs w:val="28"/>
    </w:rPr>
  </w:style>
  <w:style w:type="character" w:styleId="SubtitleChar" w:customStyle="1">
    <w:name w:val="Subtitle Char"/>
    <w:basedOn w:val="DefaultParagraphFont"/>
    <w:link w:val="Subtitle"/>
    <w:uiPriority w:val="11"/>
    <w:rsid w:val="00FF0A69"/>
    <w:rPr>
      <w:rFonts w:asciiTheme="majorHAnsi" w:hAnsiTheme="majorHAnsi" w:eastAsiaTheme="majorEastAsia" w:cstheme="majorBidi"/>
      <w:color w:val="156082" w:themeColor="accent1"/>
      <w:sz w:val="28"/>
      <w:szCs w:val="28"/>
    </w:rPr>
  </w:style>
  <w:style w:type="paragraph" w:styleId="Quote">
    <w:name w:val="Quote"/>
    <w:basedOn w:val="Normal"/>
    <w:next w:val="Normal"/>
    <w:link w:val="QuoteChar"/>
    <w:uiPriority w:val="29"/>
    <w:qFormat/>
    <w:rsid w:val="00FF0A69"/>
    <w:pPr>
      <w:spacing w:before="120" w:after="120"/>
      <w:ind w:left="720"/>
    </w:pPr>
    <w:rPr>
      <w:color w:val="0E2841" w:themeColor="text2"/>
      <w:sz w:val="24"/>
      <w:szCs w:val="24"/>
    </w:rPr>
  </w:style>
  <w:style w:type="character" w:styleId="QuoteChar" w:customStyle="1">
    <w:name w:val="Quote Char"/>
    <w:basedOn w:val="DefaultParagraphFont"/>
    <w:link w:val="Quote"/>
    <w:uiPriority w:val="29"/>
    <w:rsid w:val="00FF0A69"/>
    <w:rPr>
      <w:color w:val="0E2841" w:themeColor="text2"/>
      <w:sz w:val="24"/>
      <w:szCs w:val="24"/>
    </w:rPr>
  </w:style>
  <w:style w:type="paragraph" w:styleId="ListParagraph">
    <w:name w:val="List Paragraph"/>
    <w:basedOn w:val="Normal"/>
    <w:uiPriority w:val="34"/>
    <w:qFormat/>
    <w:rsid w:val="00FF0A69"/>
    <w:pPr>
      <w:ind w:left="720"/>
      <w:contextualSpacing/>
    </w:pPr>
  </w:style>
  <w:style w:type="character" w:styleId="IntenseEmphasis">
    <w:name w:val="Intense Emphasis"/>
    <w:basedOn w:val="DefaultParagraphFont"/>
    <w:uiPriority w:val="21"/>
    <w:qFormat/>
    <w:rsid w:val="00FF0A69"/>
    <w:rPr>
      <w:b/>
      <w:bCs/>
      <w:i/>
      <w:iCs/>
    </w:rPr>
  </w:style>
  <w:style w:type="paragraph" w:styleId="IntenseQuote">
    <w:name w:val="Intense Quote"/>
    <w:basedOn w:val="Normal"/>
    <w:next w:val="Normal"/>
    <w:link w:val="IntenseQuoteChar"/>
    <w:uiPriority w:val="30"/>
    <w:qFormat/>
    <w:rsid w:val="00FF0A69"/>
    <w:pPr>
      <w:spacing w:before="100" w:beforeAutospacing="1" w:after="240" w:line="240" w:lineRule="auto"/>
      <w:ind w:left="720"/>
      <w:jc w:val="center"/>
    </w:pPr>
    <w:rPr>
      <w:rFonts w:asciiTheme="majorHAnsi" w:hAnsiTheme="majorHAnsi" w:eastAsiaTheme="majorEastAsia" w:cstheme="majorBidi"/>
      <w:color w:val="0E2841" w:themeColor="text2"/>
      <w:spacing w:val="-6"/>
      <w:sz w:val="32"/>
      <w:szCs w:val="32"/>
    </w:rPr>
  </w:style>
  <w:style w:type="character" w:styleId="IntenseQuoteChar" w:customStyle="1">
    <w:name w:val="Intense Quote Char"/>
    <w:basedOn w:val="DefaultParagraphFont"/>
    <w:link w:val="IntenseQuote"/>
    <w:uiPriority w:val="30"/>
    <w:rsid w:val="00FF0A69"/>
    <w:rPr>
      <w:rFonts w:asciiTheme="majorHAnsi" w:hAnsiTheme="majorHAnsi" w:eastAsiaTheme="majorEastAsia" w:cstheme="majorBidi"/>
      <w:color w:val="0E2841" w:themeColor="text2"/>
      <w:spacing w:val="-6"/>
      <w:sz w:val="32"/>
      <w:szCs w:val="32"/>
    </w:rPr>
  </w:style>
  <w:style w:type="character" w:styleId="IntenseReference">
    <w:name w:val="Intense Reference"/>
    <w:basedOn w:val="DefaultParagraphFont"/>
    <w:uiPriority w:val="32"/>
    <w:qFormat/>
    <w:rsid w:val="00FF0A69"/>
    <w:rPr>
      <w:b/>
      <w:bCs/>
      <w:smallCaps/>
      <w:color w:val="0E2841" w:themeColor="text2"/>
      <w:u w:val="single"/>
    </w:rPr>
  </w:style>
  <w:style w:type="paragraph" w:styleId="Caption">
    <w:name w:val="caption"/>
    <w:basedOn w:val="Normal"/>
    <w:next w:val="Normal"/>
    <w:uiPriority w:val="35"/>
    <w:semiHidden/>
    <w:unhideWhenUsed/>
    <w:qFormat/>
    <w:rsid w:val="00FF0A69"/>
    <w:pPr>
      <w:spacing w:line="240" w:lineRule="auto"/>
    </w:pPr>
    <w:rPr>
      <w:b/>
      <w:bCs/>
      <w:smallCaps/>
      <w:color w:val="0E2841" w:themeColor="text2"/>
    </w:rPr>
  </w:style>
  <w:style w:type="character" w:styleId="Strong">
    <w:name w:val="Strong"/>
    <w:basedOn w:val="DefaultParagraphFont"/>
    <w:uiPriority w:val="22"/>
    <w:qFormat/>
    <w:rsid w:val="00FF0A69"/>
    <w:rPr>
      <w:b/>
      <w:bCs/>
    </w:rPr>
  </w:style>
  <w:style w:type="character" w:styleId="Emphasis">
    <w:name w:val="Emphasis"/>
    <w:basedOn w:val="DefaultParagraphFont"/>
    <w:uiPriority w:val="20"/>
    <w:qFormat/>
    <w:rsid w:val="00FF0A69"/>
    <w:rPr>
      <w:i/>
      <w:iCs/>
    </w:rPr>
  </w:style>
  <w:style w:type="paragraph" w:styleId="NoSpacing">
    <w:name w:val="No Spacing"/>
    <w:uiPriority w:val="1"/>
    <w:qFormat/>
    <w:rsid w:val="00FF0A69"/>
    <w:pPr>
      <w:spacing w:after="0" w:line="240" w:lineRule="auto"/>
    </w:pPr>
  </w:style>
  <w:style w:type="character" w:styleId="SubtleEmphasis">
    <w:name w:val="Subtle Emphasis"/>
    <w:basedOn w:val="DefaultParagraphFont"/>
    <w:uiPriority w:val="19"/>
    <w:qFormat/>
    <w:rsid w:val="00FF0A69"/>
    <w:rPr>
      <w:i/>
      <w:iCs/>
      <w:color w:val="595959" w:themeColor="text1" w:themeTint="A6"/>
    </w:rPr>
  </w:style>
  <w:style w:type="character" w:styleId="SubtleReference">
    <w:name w:val="Subtle Reference"/>
    <w:basedOn w:val="DefaultParagraphFont"/>
    <w:uiPriority w:val="31"/>
    <w:qFormat/>
    <w:rsid w:val="00FF0A69"/>
    <w:rPr>
      <w:smallCaps/>
      <w:color w:val="595959" w:themeColor="text1" w:themeTint="A6"/>
      <w:u w:val="none" w:color="7F7F7F" w:themeColor="text1" w:themeTint="80"/>
      <w:bdr w:val="none" w:color="auto" w:sz="0" w:space="0"/>
    </w:rPr>
  </w:style>
  <w:style w:type="character" w:styleId="BookTitle">
    <w:name w:val="Book Title"/>
    <w:basedOn w:val="DefaultParagraphFont"/>
    <w:uiPriority w:val="33"/>
    <w:qFormat/>
    <w:rsid w:val="00FF0A69"/>
    <w:rPr>
      <w:b/>
      <w:bCs/>
      <w:smallCaps/>
      <w:spacing w:val="10"/>
    </w:rPr>
  </w:style>
  <w:style w:type="paragraph" w:styleId="TOCHeading">
    <w:name w:val="TOC Heading"/>
    <w:basedOn w:val="Heading1"/>
    <w:next w:val="Normal"/>
    <w:uiPriority w:val="39"/>
    <w:semiHidden/>
    <w:unhideWhenUsed/>
    <w:qFormat/>
    <w:rsid w:val="00FF0A69"/>
    <w:pPr>
      <w:outlineLvl w:val="9"/>
    </w:pPr>
  </w:style>
  <w:style w:type="paragraph" w:styleId="Header">
    <w:name w:val="header"/>
    <w:basedOn w:val="Normal"/>
    <w:link w:val="HeaderChar"/>
    <w:uiPriority w:val="99"/>
    <w:unhideWhenUsed/>
    <w:rsid w:val="00FF0A69"/>
    <w:pPr>
      <w:tabs>
        <w:tab w:val="center" w:pos="4536"/>
        <w:tab w:val="right" w:pos="9072"/>
      </w:tabs>
      <w:spacing w:after="0" w:line="240" w:lineRule="auto"/>
    </w:pPr>
  </w:style>
  <w:style w:type="character" w:styleId="HeaderChar" w:customStyle="1">
    <w:name w:val="Header Char"/>
    <w:basedOn w:val="DefaultParagraphFont"/>
    <w:link w:val="Header"/>
    <w:uiPriority w:val="99"/>
    <w:rsid w:val="00FF0A69"/>
  </w:style>
  <w:style w:type="paragraph" w:styleId="Footer">
    <w:name w:val="footer"/>
    <w:basedOn w:val="Normal"/>
    <w:link w:val="FooterChar"/>
    <w:uiPriority w:val="99"/>
    <w:unhideWhenUsed/>
    <w:rsid w:val="00FF0A69"/>
    <w:pPr>
      <w:tabs>
        <w:tab w:val="center" w:pos="4536"/>
        <w:tab w:val="right" w:pos="9072"/>
      </w:tabs>
      <w:spacing w:after="0" w:line="240" w:lineRule="auto"/>
    </w:pPr>
  </w:style>
  <w:style w:type="character" w:styleId="FooterChar" w:customStyle="1">
    <w:name w:val="Footer Char"/>
    <w:basedOn w:val="DefaultParagraphFont"/>
    <w:link w:val="Footer"/>
    <w:uiPriority w:val="99"/>
    <w:rsid w:val="00FF0A69"/>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xml" Id="R714ed589862a4f95"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dcff587-3b8f-4871-a711-a24df8baf3c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41B35DE0BEF3E439B2F019FD29444FF" ma:contentTypeVersion="5" ma:contentTypeDescription="Crée un document." ma:contentTypeScope="" ma:versionID="f9689e03d4cf344fd1ac273d12b9a247">
  <xsd:schema xmlns:xsd="http://www.w3.org/2001/XMLSchema" xmlns:xs="http://www.w3.org/2001/XMLSchema" xmlns:p="http://schemas.microsoft.com/office/2006/metadata/properties" xmlns:ns3="0dcff587-3b8f-4871-a711-a24df8baf3c5" targetNamespace="http://schemas.microsoft.com/office/2006/metadata/properties" ma:root="true" ma:fieldsID="12ba7136de35ed9535dc89dcceab72cd" ns3:_="">
    <xsd:import namespace="0dcff587-3b8f-4871-a711-a24df8baf3c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ff587-3b8f-4871-a711-a24df8baf3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24410D-DDA0-4256-A04C-85465644A304}">
  <ds:schemaRefs>
    <ds:schemaRef ds:uri="http://schemas.microsoft.com/sharepoint/v3/contenttype/forms"/>
  </ds:schemaRefs>
</ds:datastoreItem>
</file>

<file path=customXml/itemProps2.xml><?xml version="1.0" encoding="utf-8"?>
<ds:datastoreItem xmlns:ds="http://schemas.openxmlformats.org/officeDocument/2006/customXml" ds:itemID="{985A3C26-3B28-467F-A575-1FA89026F38E}">
  <ds:schemaRefs>
    <ds:schemaRef ds:uri="http://schemas.microsoft.com/office/2006/metadata/properties"/>
    <ds:schemaRef ds:uri="http://schemas.microsoft.com/office/infopath/2007/PartnerControls"/>
    <ds:schemaRef ds:uri="0dcff587-3b8f-4871-a711-a24df8baf3c5"/>
  </ds:schemaRefs>
</ds:datastoreItem>
</file>

<file path=customXml/itemProps3.xml><?xml version="1.0" encoding="utf-8"?>
<ds:datastoreItem xmlns:ds="http://schemas.openxmlformats.org/officeDocument/2006/customXml" ds:itemID="{4B6A65D8-D13D-4203-9735-3C557B68C4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ff587-3b8f-4871-a711-a24df8baf3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Camille BOULLE</dc:creator>
  <keywords/>
  <dc:description/>
  <lastModifiedBy>Melanie BAIERA</lastModifiedBy>
  <revision>7</revision>
  <dcterms:created xsi:type="dcterms:W3CDTF">2026-06-24T16:49:00.0000000Z</dcterms:created>
  <dcterms:modified xsi:type="dcterms:W3CDTF">2026-06-24T14:42:36.6990410Z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0x010100C41B35DE0BEF3E439B2F019FD29444FF</vt:lpwstr>
  </property>
</Properties>
</file>