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505" w:rsidRPr="00196505" w:rsidRDefault="00196505" w:rsidP="00196505">
      <w:pPr>
        <w:spacing w:after="0" w:line="360" w:lineRule="auto"/>
        <w:ind w:firstLine="0"/>
        <w:contextualSpacing w:val="0"/>
        <w:jc w:val="left"/>
        <w:rPr>
          <w:rFonts w:ascii="Calibri" w:eastAsia="Times New Roman" w:hAnsi="Calibri" w:cs="Times New Roman"/>
          <w:color w:val="0098CD"/>
          <w:sz w:val="40"/>
          <w:szCs w:val="40"/>
          <w:lang w:eastAsia="es-ES"/>
        </w:rPr>
      </w:pPr>
      <w:bookmarkStart w:id="0" w:name="_Hlk43197325"/>
      <w:r w:rsidRPr="00196505">
        <w:rPr>
          <w:rFonts w:ascii="Calibri" w:eastAsia="Times New Roman" w:hAnsi="Calibri" w:cs="Times New Roman"/>
          <w:bCs/>
          <w:color w:val="0098CD"/>
          <w:sz w:val="40"/>
          <w:szCs w:val="40"/>
          <w:lang w:eastAsia="es-ES"/>
        </w:rPr>
        <w:t>Caso:</w:t>
      </w:r>
      <w:r w:rsidRPr="00196505">
        <w:rPr>
          <w:rFonts w:ascii="Calibri" w:eastAsia="Times New Roman" w:hAnsi="Calibri" w:cs="Times New Roman"/>
          <w:b/>
          <w:color w:val="0098CD"/>
          <w:sz w:val="40"/>
          <w:szCs w:val="40"/>
          <w:lang w:eastAsia="es-ES"/>
        </w:rPr>
        <w:t xml:space="preserve"> </w:t>
      </w:r>
      <w:r w:rsidRPr="00196505">
        <w:rPr>
          <w:rFonts w:ascii="Calibri" w:eastAsia="Times New Roman" w:hAnsi="Calibri" w:cs="Times New Roman"/>
          <w:bCs/>
          <w:color w:val="0098CD"/>
          <w:sz w:val="40"/>
          <w:szCs w:val="40"/>
          <w:lang w:eastAsia="es-ES"/>
        </w:rPr>
        <w:t>Estrategia de producción</w:t>
      </w:r>
    </w:p>
    <w:bookmarkEnd w:id="0"/>
    <w:p w:rsidR="00196505" w:rsidRPr="00196505" w:rsidRDefault="00196505" w:rsidP="00196505">
      <w:pPr>
        <w:spacing w:after="0" w:line="360" w:lineRule="auto"/>
        <w:ind w:firstLine="0"/>
        <w:contextualSpacing w:val="0"/>
        <w:jc w:val="left"/>
        <w:rPr>
          <w:rFonts w:ascii="Calibri" w:eastAsia="Times New Roman" w:hAnsi="Calibri" w:cs="UnitOT-Light"/>
          <w:color w:val="333333"/>
          <w:lang w:eastAsia="es-ES"/>
        </w:rPr>
      </w:pPr>
    </w:p>
    <w:p w:rsidR="00196505" w:rsidRPr="00196505" w:rsidRDefault="00196505" w:rsidP="00196505">
      <w:pPr>
        <w:spacing w:after="0" w:line="360" w:lineRule="auto"/>
        <w:ind w:firstLine="0"/>
        <w:contextualSpacing w:val="0"/>
        <w:rPr>
          <w:rFonts w:ascii="Calibri" w:eastAsia="Times New Roman" w:hAnsi="Calibri" w:cs="Times New Roman"/>
          <w:b/>
          <w:color w:val="333333"/>
          <w:szCs w:val="24"/>
          <w:lang w:eastAsia="es-ES"/>
        </w:rPr>
      </w:pPr>
      <w:r w:rsidRPr="00196505">
        <w:rPr>
          <w:rFonts w:ascii="Calibri" w:eastAsia="Times New Roman" w:hAnsi="Calibri" w:cs="Times New Roman"/>
          <w:b/>
          <w:color w:val="333333"/>
          <w:szCs w:val="24"/>
          <w:lang w:eastAsia="es-ES"/>
        </w:rPr>
        <w:t>Objetivos</w:t>
      </w:r>
    </w:p>
    <w:p w:rsidR="00196505" w:rsidRPr="00196505" w:rsidRDefault="00196505" w:rsidP="00196505">
      <w:pPr>
        <w:spacing w:after="0" w:line="360" w:lineRule="auto"/>
        <w:ind w:firstLine="0"/>
        <w:contextualSpacing w:val="0"/>
        <w:rPr>
          <w:rFonts w:ascii="Calibri" w:eastAsia="Times New Roman" w:hAnsi="Calibri" w:cs="Times New Roman"/>
          <w:bCs/>
          <w:color w:val="333333"/>
          <w:szCs w:val="24"/>
          <w:lang w:eastAsia="es-ES"/>
        </w:rPr>
      </w:pPr>
    </w:p>
    <w:p w:rsidR="00196505" w:rsidRPr="00196505" w:rsidRDefault="00196505" w:rsidP="00196505">
      <w:pPr>
        <w:spacing w:after="0" w:line="360" w:lineRule="auto"/>
        <w:ind w:firstLine="0"/>
        <w:contextualSpacing w:val="0"/>
        <w:rPr>
          <w:rFonts w:ascii="Calibri" w:eastAsia="Times New Roman" w:hAnsi="Calibri" w:cs="Times New Roman"/>
          <w:color w:val="333333"/>
          <w:szCs w:val="24"/>
          <w:lang w:eastAsia="es-ES"/>
        </w:rPr>
      </w:pPr>
      <w:r w:rsidRPr="00196505">
        <w:rPr>
          <w:rFonts w:ascii="Calibri" w:eastAsia="Times New Roman" w:hAnsi="Calibri" w:cs="Times New Roman"/>
          <w:bCs/>
          <w:color w:val="333333"/>
          <w:szCs w:val="24"/>
          <w:lang w:eastAsia="es-ES"/>
        </w:rPr>
        <w:t>A</w:t>
      </w:r>
      <w:r w:rsidRPr="00196505">
        <w:rPr>
          <w:rFonts w:ascii="Calibri" w:eastAsia="Times New Roman" w:hAnsi="Calibri" w:cs="Times New Roman"/>
          <w:color w:val="333333"/>
          <w:szCs w:val="24"/>
          <w:lang w:eastAsia="es-ES"/>
        </w:rPr>
        <w:t xml:space="preserve"> través de esta actividad podrás articular una gran parte de los conocimientos adquiridos hasta el desarrollo actual del curso: construcción de modelos de PL, solución a través del método gráfico, uso del </w:t>
      </w:r>
      <w:r w:rsidRPr="00196505">
        <w:rPr>
          <w:rFonts w:ascii="Calibri" w:eastAsia="Times New Roman" w:hAnsi="Calibri" w:cs="Times New Roman"/>
          <w:i/>
          <w:color w:val="333333"/>
          <w:szCs w:val="24"/>
          <w:lang w:eastAsia="es-ES"/>
        </w:rPr>
        <w:t>software</w:t>
      </w:r>
      <w:r w:rsidRPr="00196505">
        <w:rPr>
          <w:rFonts w:ascii="Calibri" w:eastAsia="Times New Roman" w:hAnsi="Calibri" w:cs="Times New Roman"/>
          <w:color w:val="333333"/>
          <w:szCs w:val="24"/>
          <w:lang w:eastAsia="es-ES"/>
        </w:rPr>
        <w:t xml:space="preserve"> GLPK y análisis de sensibilidad.</w:t>
      </w:r>
    </w:p>
    <w:p w:rsidR="00196505" w:rsidRPr="00196505" w:rsidRDefault="00196505" w:rsidP="00196505">
      <w:pPr>
        <w:spacing w:after="0" w:line="360" w:lineRule="auto"/>
        <w:ind w:firstLine="0"/>
        <w:contextualSpacing w:val="0"/>
        <w:rPr>
          <w:rFonts w:ascii="Calibri" w:eastAsia="Times New Roman" w:hAnsi="Calibri" w:cs="Times New Roman"/>
          <w:color w:val="333333"/>
          <w:szCs w:val="24"/>
          <w:lang w:eastAsia="es-ES"/>
        </w:rPr>
      </w:pPr>
    </w:p>
    <w:p w:rsidR="00196505" w:rsidRPr="00196505" w:rsidRDefault="00196505" w:rsidP="00196505">
      <w:pPr>
        <w:spacing w:after="0" w:line="360" w:lineRule="auto"/>
        <w:ind w:firstLine="0"/>
        <w:contextualSpacing w:val="0"/>
        <w:rPr>
          <w:rFonts w:ascii="Calibri" w:eastAsia="Times New Roman" w:hAnsi="Calibri" w:cs="Times New Roman"/>
          <w:color w:val="333333"/>
          <w:szCs w:val="24"/>
          <w:lang w:eastAsia="es-ES"/>
        </w:rPr>
      </w:pPr>
      <w:r w:rsidRPr="00196505">
        <w:rPr>
          <w:rFonts w:ascii="Calibri" w:eastAsia="Times New Roman" w:hAnsi="Calibri" w:cs="Times New Roman"/>
          <w:b/>
          <w:color w:val="333333"/>
          <w:szCs w:val="24"/>
          <w:lang w:eastAsia="es-ES"/>
        </w:rPr>
        <w:t>Descripción</w:t>
      </w:r>
      <w:r w:rsidRPr="00196505">
        <w:rPr>
          <w:rFonts w:ascii="Calibri" w:eastAsia="Times New Roman" w:hAnsi="Calibri" w:cs="Times New Roman"/>
          <w:color w:val="333333"/>
          <w:szCs w:val="24"/>
          <w:lang w:eastAsia="es-ES"/>
        </w:rPr>
        <w:t xml:space="preserve"> </w:t>
      </w:r>
    </w:p>
    <w:p w:rsidR="00196505" w:rsidRPr="00196505" w:rsidRDefault="00196505" w:rsidP="00196505">
      <w:pPr>
        <w:spacing w:after="0" w:line="360" w:lineRule="auto"/>
        <w:ind w:firstLine="0"/>
        <w:contextualSpacing w:val="0"/>
        <w:rPr>
          <w:rFonts w:ascii="Calibri" w:eastAsia="Times New Roman" w:hAnsi="Calibri" w:cs="Times New Roman"/>
          <w:color w:val="333333"/>
          <w:szCs w:val="24"/>
          <w:lang w:eastAsia="es-ES"/>
        </w:rPr>
      </w:pPr>
    </w:p>
    <w:p w:rsidR="00196505" w:rsidRPr="00196505" w:rsidRDefault="00196505" w:rsidP="00196505">
      <w:pPr>
        <w:spacing w:after="0" w:line="360" w:lineRule="auto"/>
        <w:ind w:firstLine="0"/>
        <w:contextualSpacing w:val="0"/>
        <w:rPr>
          <w:rFonts w:ascii="Calibri" w:eastAsia="Times New Roman" w:hAnsi="Calibri" w:cs="Times New Roman"/>
          <w:color w:val="333333"/>
          <w:szCs w:val="24"/>
          <w:lang w:eastAsia="es-ES"/>
        </w:rPr>
      </w:pPr>
      <w:r w:rsidRPr="00196505">
        <w:rPr>
          <w:rFonts w:ascii="Calibri" w:eastAsia="Times New Roman" w:hAnsi="Calibri" w:cs="Times New Roman"/>
          <w:color w:val="333333"/>
          <w:szCs w:val="24"/>
          <w:lang w:eastAsia="es-ES"/>
        </w:rPr>
        <w:t xml:space="preserve">A continuación se presenta el caso de aplicación a desarrollar, tomado de  </w:t>
      </w:r>
      <w:r w:rsidRPr="00196505">
        <w:rPr>
          <w:rFonts w:ascii="Calibri" w:eastAsia="Times New Roman" w:hAnsi="Calibri" w:cs="Times New Roman"/>
          <w:color w:val="333333"/>
          <w:szCs w:val="24"/>
          <w:lang w:eastAsia="es-ES"/>
        </w:rPr>
        <w:fldChar w:fldCharType="begin"/>
      </w:r>
      <w:r w:rsidRPr="00196505">
        <w:rPr>
          <w:rFonts w:ascii="Calibri" w:eastAsia="Times New Roman" w:hAnsi="Calibri" w:cs="Times New Roman"/>
          <w:color w:val="333333"/>
          <w:szCs w:val="24"/>
          <w:lang w:eastAsia="es-ES"/>
        </w:rPr>
        <w:instrText xml:space="preserve"> ADDIN ZOTERO_ITEM CSL_CITATION {"citationID":"uMVSG1OS","properties":{"formattedCitation":"(Anderson et\\uc0\\u160{}al., 2011)","plainCitation":"(Anderson et al., 2011)","noteIndex":0},"citationItems":[{"id":2753,"uris":["http://zotero.org/groups/2154371/items/9RRCTNMM"],"uri":["http://zotero.org/groups/2154371/items/9RRCTNMM"],"itemData":{"id":2753,"type":"book","event-place":"México, D.F.","ISBN":"978-607-481-697-6","language":"Spanish","note":"OCLC: 953654701","publisher":"CENGAGE Learning","publisher-place":"México, D.F.","source":"Open WorldCat","title":"Métodos cuantitativos para los negocios (11a. ed.).","URL":"http://public.ebookcentral.proquest.com/choice/publicfullrecord.aspx?p=3430386","author":[{"family":"Anderson","given":"David Ray"},{"family":"Sweeney","given":"Dennis J"},{"family":"Williams","given":"Thomas A"}],"accessed":{"date-parts":[["2020",6,6]]},"issued":{"date-parts":[["2011"]]}}}],"schema":"https://github.com/citation-style-language/schema/raw/master/csl-citation.json"} </w:instrText>
      </w:r>
      <w:r w:rsidRPr="00196505">
        <w:rPr>
          <w:rFonts w:ascii="Calibri" w:eastAsia="Times New Roman" w:hAnsi="Calibri" w:cs="Times New Roman"/>
          <w:color w:val="333333"/>
          <w:szCs w:val="24"/>
          <w:lang w:eastAsia="es-ES"/>
        </w:rPr>
        <w:fldChar w:fldCharType="separate"/>
      </w:r>
      <w:r w:rsidRPr="00196505">
        <w:rPr>
          <w:rFonts w:ascii="Calibri" w:eastAsia="Times New Roman" w:hAnsi="Calibri" w:cs="Times New Roman"/>
          <w:color w:val="333333"/>
          <w:szCs w:val="24"/>
          <w:lang w:eastAsia="es-ES"/>
        </w:rPr>
        <w:t>(Anderson et al., 2011)</w:t>
      </w:r>
      <w:r w:rsidRPr="00196505">
        <w:rPr>
          <w:rFonts w:ascii="Calibri" w:eastAsia="Times New Roman" w:hAnsi="Calibri" w:cs="Times New Roman"/>
          <w:color w:val="333333"/>
          <w:szCs w:val="24"/>
          <w:lang w:eastAsia="es-ES"/>
        </w:rPr>
        <w:fldChar w:fldCharType="end"/>
      </w:r>
      <w:r w:rsidRPr="00196505">
        <w:rPr>
          <w:rFonts w:ascii="Calibri" w:eastAsia="Times New Roman" w:hAnsi="Calibri" w:cs="Times New Roman"/>
          <w:color w:val="333333"/>
          <w:szCs w:val="24"/>
          <w:lang w:eastAsia="es-ES"/>
        </w:rPr>
        <w:t>.</w:t>
      </w:r>
    </w:p>
    <w:p w:rsidR="00196505" w:rsidRPr="00196505" w:rsidRDefault="00196505" w:rsidP="00196505">
      <w:pPr>
        <w:spacing w:after="0" w:line="360" w:lineRule="auto"/>
        <w:ind w:left="360" w:firstLine="0"/>
        <w:rPr>
          <w:rFonts w:ascii="Calibri" w:eastAsia="Times New Roman" w:hAnsi="Calibri" w:cs="Times New Roman"/>
          <w:color w:val="333333"/>
          <w:szCs w:val="24"/>
          <w:lang w:eastAsia="es-ES"/>
        </w:rPr>
      </w:pPr>
    </w:p>
    <w:p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b/>
          <w:color w:val="595959"/>
          <w:lang w:eastAsia="es-ES"/>
        </w:rPr>
      </w:pPr>
      <w:r w:rsidRPr="00196505">
        <w:rPr>
          <w:rFonts w:ascii="Calibri" w:eastAsia="Times New Roman" w:hAnsi="Calibri" w:cs="UnitOT-Light"/>
          <w:b/>
          <w:color w:val="595959"/>
          <w:lang w:eastAsia="es-ES"/>
        </w:rPr>
        <w:t>Caso de aplicación: Estrategia de producción</w:t>
      </w:r>
    </w:p>
    <w:p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
    <w:p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roofErr w:type="spellStart"/>
      <w:r w:rsidRPr="00196505">
        <w:rPr>
          <w:rFonts w:ascii="Calibri" w:eastAsia="Times New Roman" w:hAnsi="Calibri" w:cs="UnitOT-Light"/>
          <w:color w:val="595959"/>
          <w:lang w:eastAsia="es-ES"/>
        </w:rPr>
        <w:t>Better</w:t>
      </w:r>
      <w:proofErr w:type="spellEnd"/>
      <w:r w:rsidRPr="00196505">
        <w:rPr>
          <w:rFonts w:ascii="Calibri" w:eastAsia="Times New Roman" w:hAnsi="Calibri" w:cs="UnitOT-Light"/>
          <w:color w:val="595959"/>
          <w:lang w:eastAsia="es-ES"/>
        </w:rPr>
        <w:t xml:space="preserve"> Fitness, Inc. (BFI) fabrica equipo para ejercicio en su planta de Freeport, Long Island. Hace poco diseñó dos máquinas de pesas para el mercado de ejercicio en el hogar, las máquinas utilizan tecnología BFI patentada que proporciona al usuario un rango de capacidad de movimiento sumamente amplio para cada tipo de ejercicio realizado. Hasta ahora, estas capacidades habían estado disponibles solo en las máquinas de pesas costosas que utilizan principalmente los terapeutas físicos.</w:t>
      </w:r>
    </w:p>
    <w:p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
    <w:p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r w:rsidRPr="00196505">
        <w:rPr>
          <w:rFonts w:ascii="Calibri" w:eastAsia="Times New Roman" w:hAnsi="Calibri" w:cs="UnitOT-Light"/>
          <w:color w:val="595959"/>
          <w:lang w:eastAsia="es-ES"/>
        </w:rPr>
        <w:t xml:space="preserve">En una exposición comercial reciente, las demostraciones de las máquinas despertaron un gran interés por parte de los distribuidores. De hecho, el número de pedidos que BFI recibió en la exposición comercial excedía por mucho sus capacidades de manufactura para el periodo de producción actual. Como resultado, la gerencia decidió comenzar la fabricación de las dos máquinas, las cuales BFI nombró </w:t>
      </w:r>
      <w:proofErr w:type="spellStart"/>
      <w:r w:rsidRPr="00196505">
        <w:rPr>
          <w:rFonts w:ascii="Calibri" w:eastAsia="Times New Roman" w:hAnsi="Calibri" w:cs="UnitOT-Light"/>
          <w:color w:val="595959"/>
          <w:lang w:eastAsia="es-ES"/>
        </w:rPr>
        <w:t>BodyPlus</w:t>
      </w:r>
      <w:proofErr w:type="spellEnd"/>
      <w:r w:rsidRPr="00196505">
        <w:rPr>
          <w:rFonts w:ascii="Calibri" w:eastAsia="Times New Roman" w:hAnsi="Calibri" w:cs="UnitOT-Light"/>
          <w:color w:val="595959"/>
          <w:lang w:eastAsia="es-ES"/>
        </w:rPr>
        <w:t xml:space="preserve"> 100 y </w:t>
      </w:r>
      <w:proofErr w:type="spellStart"/>
      <w:r w:rsidRPr="00196505">
        <w:rPr>
          <w:rFonts w:ascii="Calibri" w:eastAsia="Times New Roman" w:hAnsi="Calibri" w:cs="UnitOT-Light"/>
          <w:color w:val="595959"/>
          <w:lang w:eastAsia="es-ES"/>
        </w:rPr>
        <w:t>BodyPlus</w:t>
      </w:r>
      <w:proofErr w:type="spellEnd"/>
      <w:r w:rsidRPr="00196505">
        <w:rPr>
          <w:rFonts w:ascii="Calibri" w:eastAsia="Times New Roman" w:hAnsi="Calibri" w:cs="UnitOT-Light"/>
          <w:color w:val="595959"/>
          <w:lang w:eastAsia="es-ES"/>
        </w:rPr>
        <w:t xml:space="preserve"> 200, y requieren para su producción diferentes cantidades de recursos.</w:t>
      </w:r>
    </w:p>
    <w:p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
    <w:p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r w:rsidRPr="00196505">
        <w:rPr>
          <w:rFonts w:ascii="Calibri" w:eastAsia="Times New Roman" w:hAnsi="Calibri" w:cs="UnitOT-Light"/>
          <w:color w:val="595959"/>
          <w:lang w:eastAsia="es-ES"/>
        </w:rPr>
        <w:t xml:space="preserve">La </w:t>
      </w:r>
      <w:proofErr w:type="spellStart"/>
      <w:r w:rsidRPr="00196505">
        <w:rPr>
          <w:rFonts w:ascii="Calibri" w:eastAsia="Times New Roman" w:hAnsi="Calibri" w:cs="UnitOT-Light"/>
          <w:color w:val="595959"/>
          <w:lang w:eastAsia="es-ES"/>
        </w:rPr>
        <w:t>BodyPlus</w:t>
      </w:r>
      <w:proofErr w:type="spellEnd"/>
      <w:r w:rsidRPr="00196505">
        <w:rPr>
          <w:rFonts w:ascii="Calibri" w:eastAsia="Times New Roman" w:hAnsi="Calibri" w:cs="UnitOT-Light"/>
          <w:color w:val="595959"/>
          <w:lang w:eastAsia="es-ES"/>
        </w:rPr>
        <w:t xml:space="preserve"> 100 consta de una unidad de estructura, una estación de prensa y una </w:t>
      </w:r>
      <w:proofErr w:type="spellStart"/>
      <w:r w:rsidRPr="00196505">
        <w:rPr>
          <w:rFonts w:ascii="Calibri" w:eastAsia="Times New Roman" w:hAnsi="Calibri" w:cs="UnitOT-Light"/>
          <w:color w:val="595959"/>
          <w:lang w:eastAsia="es-ES"/>
        </w:rPr>
        <w:t>pec-dec</w:t>
      </w:r>
      <w:proofErr w:type="spellEnd"/>
      <w:r w:rsidRPr="00196505">
        <w:rPr>
          <w:rFonts w:ascii="Calibri" w:eastAsia="Times New Roman" w:hAnsi="Calibri" w:cs="UnitOT-Light"/>
          <w:color w:val="595959"/>
          <w:lang w:eastAsia="es-ES"/>
        </w:rPr>
        <w:t xml:space="preserve">. En cada estructura producida se invierten 4 horas de tiempo de mecanizado y sujeción, y 2 de pintura y acabado. Cada estación de prensa </w:t>
      </w:r>
      <w:r w:rsidRPr="00196505">
        <w:rPr>
          <w:rFonts w:ascii="Calibri" w:eastAsia="Times New Roman" w:hAnsi="Calibri" w:cs="UnitOT-Light"/>
          <w:color w:val="595959"/>
          <w:lang w:eastAsia="es-ES"/>
        </w:rPr>
        <w:lastRenderedPageBreak/>
        <w:t xml:space="preserve">requiere 2 horas de mecanizado y sujeción, y 1 de pintura y acabado; en cada estación </w:t>
      </w:r>
      <w:proofErr w:type="spellStart"/>
      <w:r w:rsidRPr="00196505">
        <w:rPr>
          <w:rFonts w:ascii="Calibri" w:eastAsia="Times New Roman" w:hAnsi="Calibri" w:cs="UnitOT-Light"/>
          <w:color w:val="595959"/>
          <w:lang w:eastAsia="es-ES"/>
        </w:rPr>
        <w:t>pec-dec</w:t>
      </w:r>
      <w:proofErr w:type="spellEnd"/>
      <w:r w:rsidRPr="00196505">
        <w:rPr>
          <w:rFonts w:ascii="Calibri" w:eastAsia="Times New Roman" w:hAnsi="Calibri" w:cs="UnitOT-Light"/>
          <w:color w:val="595959"/>
          <w:lang w:eastAsia="es-ES"/>
        </w:rPr>
        <w:t xml:space="preserve"> se invierten 2 horas de mecanizado y sujeción, y 2 de pintura y acabados. Además, se dedican 2 horas al ensamblaje, las pruebas y el empaque de cada </w:t>
      </w:r>
      <w:proofErr w:type="spellStart"/>
      <w:r w:rsidRPr="00196505">
        <w:rPr>
          <w:rFonts w:ascii="Calibri" w:eastAsia="Times New Roman" w:hAnsi="Calibri" w:cs="UnitOT-Light"/>
          <w:color w:val="595959"/>
          <w:lang w:eastAsia="es-ES"/>
        </w:rPr>
        <w:t>BodyPlus</w:t>
      </w:r>
      <w:proofErr w:type="spellEnd"/>
      <w:r w:rsidRPr="00196505">
        <w:rPr>
          <w:rFonts w:ascii="Calibri" w:eastAsia="Times New Roman" w:hAnsi="Calibri" w:cs="UnitOT-Light"/>
          <w:color w:val="595959"/>
          <w:lang w:eastAsia="es-ES"/>
        </w:rPr>
        <w:t xml:space="preserve"> 100. Los costos de las materias primas son 450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cada estructura, 300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cada estación de prensa y 250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cada estación de </w:t>
      </w:r>
      <w:proofErr w:type="spellStart"/>
      <w:r w:rsidRPr="00196505">
        <w:rPr>
          <w:rFonts w:ascii="Calibri" w:eastAsia="Times New Roman" w:hAnsi="Calibri" w:cs="UnitOT-Light"/>
          <w:color w:val="595959"/>
          <w:lang w:eastAsia="es-ES"/>
        </w:rPr>
        <w:t>pec-dec</w:t>
      </w:r>
      <w:proofErr w:type="spellEnd"/>
      <w:r w:rsidRPr="00196505">
        <w:rPr>
          <w:rFonts w:ascii="Calibri" w:eastAsia="Times New Roman" w:hAnsi="Calibri" w:cs="UnitOT-Light"/>
          <w:color w:val="595959"/>
          <w:lang w:eastAsia="es-ES"/>
        </w:rPr>
        <w:t>; el empaque se estima en 50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unidad.</w:t>
      </w:r>
    </w:p>
    <w:p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
    <w:p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r w:rsidRPr="00196505">
        <w:rPr>
          <w:rFonts w:ascii="Calibri" w:eastAsia="Times New Roman" w:hAnsi="Calibri" w:cs="UnitOT-Light"/>
          <w:color w:val="595959"/>
          <w:lang w:eastAsia="es-ES"/>
        </w:rPr>
        <w:t xml:space="preserve">La </w:t>
      </w:r>
      <w:proofErr w:type="spellStart"/>
      <w:r w:rsidRPr="00196505">
        <w:rPr>
          <w:rFonts w:ascii="Calibri" w:eastAsia="Times New Roman" w:hAnsi="Calibri" w:cs="UnitOT-Light"/>
          <w:color w:val="595959"/>
          <w:lang w:eastAsia="es-ES"/>
        </w:rPr>
        <w:t>BodyPlus</w:t>
      </w:r>
      <w:proofErr w:type="spellEnd"/>
      <w:r w:rsidRPr="00196505">
        <w:rPr>
          <w:rFonts w:ascii="Calibri" w:eastAsia="Times New Roman" w:hAnsi="Calibri" w:cs="UnitOT-Light"/>
          <w:color w:val="595959"/>
          <w:lang w:eastAsia="es-ES"/>
        </w:rPr>
        <w:t xml:space="preserve"> 200 se compone de una unidad de estructura, una estación de prensa, una </w:t>
      </w:r>
      <w:proofErr w:type="spellStart"/>
      <w:r w:rsidRPr="00196505">
        <w:rPr>
          <w:rFonts w:ascii="Calibri" w:eastAsia="Times New Roman" w:hAnsi="Calibri" w:cs="UnitOT-Light"/>
          <w:color w:val="595959"/>
          <w:lang w:eastAsia="es-ES"/>
        </w:rPr>
        <w:t>pec-dec</w:t>
      </w:r>
      <w:proofErr w:type="spellEnd"/>
      <w:r w:rsidRPr="00196505">
        <w:rPr>
          <w:rFonts w:ascii="Calibri" w:eastAsia="Times New Roman" w:hAnsi="Calibri" w:cs="UnitOT-Light"/>
          <w:color w:val="595959"/>
          <w:lang w:eastAsia="es-ES"/>
        </w:rPr>
        <w:t xml:space="preserve"> y una de prensa para piernas. En cada estructura producida se invierten 5 horas de tiempo de mecanizado y sujeción, y 4 horas de pintura y acabado. Cada estación de prensa requiere 3 horas de mecanizado y sujeción, y 2 horas de pintura y acabados</w:t>
      </w:r>
      <w:r w:rsidR="00F97248">
        <w:rPr>
          <w:rFonts w:ascii="Calibri" w:eastAsia="Times New Roman" w:hAnsi="Calibri" w:cs="UnitOT-Light"/>
          <w:color w:val="595959"/>
          <w:lang w:eastAsia="es-ES"/>
        </w:rPr>
        <w:t>. E</w:t>
      </w:r>
      <w:r w:rsidRPr="00196505">
        <w:rPr>
          <w:rFonts w:ascii="Calibri" w:eastAsia="Times New Roman" w:hAnsi="Calibri" w:cs="UnitOT-Light"/>
          <w:color w:val="595959"/>
          <w:lang w:eastAsia="es-ES"/>
        </w:rPr>
        <w:t xml:space="preserve">n cada estación </w:t>
      </w:r>
      <w:proofErr w:type="spellStart"/>
      <w:r w:rsidRPr="00196505">
        <w:rPr>
          <w:rFonts w:ascii="Calibri" w:eastAsia="Times New Roman" w:hAnsi="Calibri" w:cs="UnitOT-Light"/>
          <w:color w:val="595959"/>
          <w:lang w:eastAsia="es-ES"/>
        </w:rPr>
        <w:t>pec-dec</w:t>
      </w:r>
      <w:proofErr w:type="spellEnd"/>
      <w:r w:rsidRPr="00196505">
        <w:rPr>
          <w:rFonts w:ascii="Calibri" w:eastAsia="Times New Roman" w:hAnsi="Calibri" w:cs="UnitOT-Light"/>
          <w:color w:val="595959"/>
          <w:lang w:eastAsia="es-ES"/>
        </w:rPr>
        <w:t xml:space="preserve"> se invierten 2 horas de mecanizado y sujeción, y 2 de pintura y acabado; y cada estación de prensa para piernas requiere 2 horas de mecanizado y sujeción, y 2 de pintura y acabado. Además, se dedican 2 horas al ensamblaje, las pruebas y el empaque de cada </w:t>
      </w:r>
      <w:proofErr w:type="spellStart"/>
      <w:r w:rsidRPr="00196505">
        <w:rPr>
          <w:rFonts w:ascii="Calibri" w:eastAsia="Times New Roman" w:hAnsi="Calibri" w:cs="UnitOT-Light"/>
          <w:color w:val="595959"/>
          <w:lang w:eastAsia="es-ES"/>
        </w:rPr>
        <w:t>BodyPlus</w:t>
      </w:r>
      <w:proofErr w:type="spellEnd"/>
      <w:r w:rsidRPr="00196505">
        <w:rPr>
          <w:rFonts w:ascii="Calibri" w:eastAsia="Times New Roman" w:hAnsi="Calibri" w:cs="UnitOT-Light"/>
          <w:color w:val="595959"/>
          <w:lang w:eastAsia="es-ES"/>
        </w:rPr>
        <w:t xml:space="preserve"> 200. Los costos de las materias primas son 650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cada estructura, 400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cada estación de prensa, 250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cada estación </w:t>
      </w:r>
      <w:proofErr w:type="spellStart"/>
      <w:r w:rsidRPr="00196505">
        <w:rPr>
          <w:rFonts w:ascii="Calibri" w:eastAsia="Times New Roman" w:hAnsi="Calibri" w:cs="UnitOT-Light"/>
          <w:color w:val="595959"/>
          <w:lang w:eastAsia="es-ES"/>
        </w:rPr>
        <w:t>pec-dec</w:t>
      </w:r>
      <w:proofErr w:type="spellEnd"/>
      <w:r w:rsidRPr="00196505">
        <w:rPr>
          <w:rFonts w:ascii="Calibri" w:eastAsia="Times New Roman" w:hAnsi="Calibri" w:cs="UnitOT-Light"/>
          <w:color w:val="595959"/>
          <w:lang w:eastAsia="es-ES"/>
        </w:rPr>
        <w:t xml:space="preserve"> y 300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cada estación de prensa para piernas</w:t>
      </w:r>
      <w:r w:rsidR="00F97248">
        <w:rPr>
          <w:rFonts w:ascii="Calibri" w:eastAsia="Times New Roman" w:hAnsi="Calibri" w:cs="UnitOT-Light"/>
          <w:color w:val="595959"/>
          <w:lang w:eastAsia="es-ES"/>
        </w:rPr>
        <w:t>. E</w:t>
      </w:r>
      <w:r w:rsidRPr="00196505">
        <w:rPr>
          <w:rFonts w:ascii="Calibri" w:eastAsia="Times New Roman" w:hAnsi="Calibri" w:cs="UnitOT-Light"/>
          <w:color w:val="595959"/>
          <w:lang w:eastAsia="es-ES"/>
        </w:rPr>
        <w:t>l empaque se estima en 75</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unidad.</w:t>
      </w:r>
    </w:p>
    <w:p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
    <w:p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r w:rsidRPr="00196505">
        <w:rPr>
          <w:rFonts w:ascii="Calibri" w:eastAsia="Times New Roman" w:hAnsi="Calibri" w:cs="UnitOT-Light"/>
          <w:color w:val="595959"/>
          <w:lang w:eastAsia="es-ES"/>
        </w:rPr>
        <w:t>Para el siguiente periodo de producción, la gerencia estima que se dispondrá de 600 horas de tiempo de mecanizado y sujeción, 450 de pintura y acabado, y 140 horas de ensamblaje. Los costos de mano de obra actuales son 20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hora de mecanizado y sujeción, 15</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hora de pintura y acabado, y 12</w:t>
      </w:r>
      <w:r w:rsidR="00F97248">
        <w:rPr>
          <w:rFonts w:ascii="Calibri" w:eastAsia="Times New Roman" w:hAnsi="Calibri" w:cs="UnitOT-Light"/>
          <w:color w:val="595959"/>
          <w:lang w:eastAsia="es-ES"/>
        </w:rPr>
        <w:t>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hora de ensamblaje, pruebas y empaque. </w:t>
      </w:r>
    </w:p>
    <w:p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
    <w:p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r w:rsidRPr="00196505">
        <w:rPr>
          <w:rFonts w:ascii="Calibri" w:eastAsia="Times New Roman" w:hAnsi="Calibri" w:cs="UnitOT-Light"/>
          <w:color w:val="595959"/>
          <w:lang w:eastAsia="es-ES"/>
        </w:rPr>
        <w:t>El mercado en el cual deben competir las dos máquinas sugiere un precio al detalle o menudeo de 2400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para la </w:t>
      </w:r>
      <w:proofErr w:type="spellStart"/>
      <w:r w:rsidRPr="00196505">
        <w:rPr>
          <w:rFonts w:ascii="Calibri" w:eastAsia="Times New Roman" w:hAnsi="Calibri" w:cs="UnitOT-Light"/>
          <w:color w:val="595959"/>
          <w:lang w:eastAsia="es-ES"/>
        </w:rPr>
        <w:t>BodyPlus</w:t>
      </w:r>
      <w:proofErr w:type="spellEnd"/>
      <w:r w:rsidRPr="00196505">
        <w:rPr>
          <w:rFonts w:ascii="Calibri" w:eastAsia="Times New Roman" w:hAnsi="Calibri" w:cs="UnitOT-Light"/>
          <w:color w:val="595959"/>
          <w:lang w:eastAsia="es-ES"/>
        </w:rPr>
        <w:t xml:space="preserve"> 100 y 3500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para la </w:t>
      </w:r>
      <w:proofErr w:type="spellStart"/>
      <w:r w:rsidRPr="00196505">
        <w:rPr>
          <w:rFonts w:ascii="Calibri" w:eastAsia="Times New Roman" w:hAnsi="Calibri" w:cs="UnitOT-Light"/>
          <w:color w:val="595959"/>
          <w:lang w:eastAsia="es-ES"/>
        </w:rPr>
        <w:t>BodyPlus</w:t>
      </w:r>
      <w:proofErr w:type="spellEnd"/>
      <w:r w:rsidRPr="00196505">
        <w:rPr>
          <w:rFonts w:ascii="Calibri" w:eastAsia="Times New Roman" w:hAnsi="Calibri" w:cs="UnitOT-Light"/>
          <w:color w:val="595959"/>
          <w:lang w:eastAsia="es-ES"/>
        </w:rPr>
        <w:t xml:space="preserve"> 200, aunque puede haber flexibilidad por parte de BFI debido a las capacidades únicas de las nuevas máquinas. Los distribuidores autorizados de BFI pueden comprar las máquinas por 70 % del precio de menudeo sugerido.</w:t>
      </w:r>
    </w:p>
    <w:p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
    <w:p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r w:rsidRPr="00196505">
        <w:rPr>
          <w:rFonts w:ascii="Calibri" w:eastAsia="Times New Roman" w:hAnsi="Calibri" w:cs="UnitOT-Light"/>
          <w:color w:val="595959"/>
          <w:lang w:eastAsia="es-ES"/>
        </w:rPr>
        <w:t xml:space="preserve">El presidente de BFI considera que las capacidades únicas de la </w:t>
      </w:r>
      <w:proofErr w:type="spellStart"/>
      <w:r w:rsidRPr="00196505">
        <w:rPr>
          <w:rFonts w:ascii="Calibri" w:eastAsia="Times New Roman" w:hAnsi="Calibri" w:cs="UnitOT-Light"/>
          <w:color w:val="595959"/>
          <w:lang w:eastAsia="es-ES"/>
        </w:rPr>
        <w:t>BodyPlus</w:t>
      </w:r>
      <w:proofErr w:type="spellEnd"/>
      <w:r w:rsidRPr="00196505">
        <w:rPr>
          <w:rFonts w:ascii="Calibri" w:eastAsia="Times New Roman" w:hAnsi="Calibri" w:cs="UnitOT-Light"/>
          <w:color w:val="595959"/>
          <w:lang w:eastAsia="es-ES"/>
        </w:rPr>
        <w:t xml:space="preserve"> 200 pueden posicionar a BFI como uno de los líderes en equipo para ejercicio de alta calidad. En consecuencia, se estableció que el número de unidades </w:t>
      </w:r>
      <w:proofErr w:type="spellStart"/>
      <w:r w:rsidRPr="00196505">
        <w:rPr>
          <w:rFonts w:ascii="Calibri" w:eastAsia="Times New Roman" w:hAnsi="Calibri" w:cs="UnitOT-Light"/>
          <w:color w:val="595959"/>
          <w:lang w:eastAsia="es-ES"/>
        </w:rPr>
        <w:t>BodyPlus</w:t>
      </w:r>
      <w:proofErr w:type="spellEnd"/>
      <w:r w:rsidRPr="00196505">
        <w:rPr>
          <w:rFonts w:ascii="Calibri" w:eastAsia="Times New Roman" w:hAnsi="Calibri" w:cs="UnitOT-Light"/>
          <w:color w:val="595959"/>
          <w:lang w:eastAsia="es-ES"/>
        </w:rPr>
        <w:t xml:space="preserve"> 200 producidas debe ser como mínimo 25 % de la producción total.</w:t>
      </w:r>
    </w:p>
    <w:p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
    <w:p w:rsidR="00F97248"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b/>
          <w:color w:val="595959"/>
          <w:lang w:eastAsia="es-ES"/>
        </w:rPr>
      </w:pPr>
      <w:r w:rsidRPr="00196505">
        <w:rPr>
          <w:rFonts w:ascii="Calibri" w:eastAsia="Times New Roman" w:hAnsi="Calibri" w:cs="UnitOT-Light"/>
          <w:b/>
          <w:color w:val="595959"/>
          <w:lang w:eastAsia="es-ES"/>
        </w:rPr>
        <w:t xml:space="preserve"> </w:t>
      </w:r>
    </w:p>
    <w:p w:rsidR="00196505" w:rsidRPr="00F97248" w:rsidRDefault="00196505" w:rsidP="00F97248">
      <w:pPr>
        <w:spacing w:line="360" w:lineRule="auto"/>
        <w:ind w:firstLine="0"/>
        <w:rPr>
          <w:rFonts w:ascii="Calibri" w:eastAsia="Times New Roman" w:hAnsi="Calibri" w:cs="Times New Roman"/>
          <w:b/>
          <w:bCs/>
          <w:color w:val="333333"/>
          <w:spacing w:val="-4"/>
          <w:szCs w:val="24"/>
          <w:lang w:eastAsia="es-ES"/>
        </w:rPr>
      </w:pPr>
      <w:r w:rsidRPr="00F97248">
        <w:rPr>
          <w:rFonts w:ascii="Calibri" w:eastAsia="Times New Roman" w:hAnsi="Calibri" w:cs="Times New Roman"/>
          <w:b/>
          <w:bCs/>
          <w:color w:val="333333"/>
          <w:spacing w:val="-4"/>
          <w:szCs w:val="24"/>
          <w:lang w:eastAsia="es-ES"/>
        </w:rPr>
        <w:lastRenderedPageBreak/>
        <w:t>Informe gerencial</w:t>
      </w:r>
    </w:p>
    <w:p w:rsidR="00196505" w:rsidRPr="00F97248" w:rsidRDefault="00196505" w:rsidP="00F97248">
      <w:pPr>
        <w:spacing w:line="360" w:lineRule="auto"/>
        <w:ind w:left="709" w:firstLine="0"/>
        <w:rPr>
          <w:rFonts w:ascii="Calibri" w:eastAsia="Times New Roman" w:hAnsi="Calibri" w:cs="Times New Roman"/>
          <w:color w:val="333333"/>
          <w:spacing w:val="-4"/>
          <w:szCs w:val="24"/>
          <w:lang w:eastAsia="es-ES"/>
        </w:rPr>
      </w:pPr>
    </w:p>
    <w:p w:rsidR="00196505" w:rsidRPr="00F97248" w:rsidRDefault="00196505" w:rsidP="00F97248">
      <w:pPr>
        <w:spacing w:line="360" w:lineRule="auto"/>
        <w:ind w:firstLine="0"/>
        <w:rPr>
          <w:rFonts w:ascii="Calibri" w:eastAsia="Times New Roman" w:hAnsi="Calibri" w:cs="Times New Roman"/>
          <w:color w:val="333333"/>
          <w:spacing w:val="-4"/>
          <w:szCs w:val="24"/>
          <w:lang w:eastAsia="es-ES"/>
        </w:rPr>
      </w:pPr>
      <w:r w:rsidRPr="00F97248">
        <w:rPr>
          <w:rFonts w:ascii="Calibri" w:eastAsia="Times New Roman" w:hAnsi="Calibri" w:cs="Times New Roman"/>
          <w:color w:val="333333"/>
          <w:spacing w:val="-4"/>
          <w:szCs w:val="24"/>
          <w:lang w:eastAsia="es-ES"/>
        </w:rPr>
        <w:t>Anali</w:t>
      </w:r>
      <w:r w:rsidR="00F97248" w:rsidRPr="00F97248">
        <w:rPr>
          <w:rFonts w:ascii="Calibri" w:eastAsia="Times New Roman" w:hAnsi="Calibri" w:cs="Times New Roman"/>
          <w:color w:val="333333"/>
          <w:spacing w:val="-4"/>
          <w:szCs w:val="24"/>
          <w:lang w:eastAsia="es-ES"/>
        </w:rPr>
        <w:t>za</w:t>
      </w:r>
      <w:r w:rsidRPr="00F97248">
        <w:rPr>
          <w:rFonts w:ascii="Calibri" w:eastAsia="Times New Roman" w:hAnsi="Calibri" w:cs="Times New Roman"/>
          <w:color w:val="333333"/>
          <w:spacing w:val="-4"/>
          <w:szCs w:val="24"/>
          <w:lang w:eastAsia="es-ES"/>
        </w:rPr>
        <w:t xml:space="preserve"> el problema de producción que enfrenta </w:t>
      </w:r>
      <w:proofErr w:type="spellStart"/>
      <w:r w:rsidRPr="00F97248">
        <w:rPr>
          <w:rFonts w:ascii="Calibri" w:eastAsia="Times New Roman" w:hAnsi="Calibri" w:cs="Times New Roman"/>
          <w:color w:val="333333"/>
          <w:spacing w:val="-4"/>
          <w:szCs w:val="24"/>
          <w:lang w:eastAsia="es-ES"/>
        </w:rPr>
        <w:t>Better</w:t>
      </w:r>
      <w:proofErr w:type="spellEnd"/>
      <w:r w:rsidRPr="00F97248">
        <w:rPr>
          <w:rFonts w:ascii="Calibri" w:eastAsia="Times New Roman" w:hAnsi="Calibri" w:cs="Times New Roman"/>
          <w:color w:val="333333"/>
          <w:spacing w:val="-4"/>
          <w:szCs w:val="24"/>
          <w:lang w:eastAsia="es-ES"/>
        </w:rPr>
        <w:t xml:space="preserve"> Fitness, Inc. y prepar</w:t>
      </w:r>
      <w:r w:rsidR="00F97248" w:rsidRPr="00F97248">
        <w:rPr>
          <w:rFonts w:ascii="Calibri" w:eastAsia="Times New Roman" w:hAnsi="Calibri" w:cs="Times New Roman"/>
          <w:color w:val="333333"/>
          <w:spacing w:val="-4"/>
          <w:szCs w:val="24"/>
          <w:lang w:eastAsia="es-ES"/>
        </w:rPr>
        <w:t>a</w:t>
      </w:r>
      <w:r w:rsidRPr="00F97248">
        <w:rPr>
          <w:rFonts w:ascii="Calibri" w:eastAsia="Times New Roman" w:hAnsi="Calibri" w:cs="Times New Roman"/>
          <w:color w:val="333333"/>
          <w:spacing w:val="-4"/>
          <w:szCs w:val="24"/>
          <w:lang w:eastAsia="es-ES"/>
        </w:rPr>
        <w:t xml:space="preserve"> un informe para el presidente de BFI donde exponga sus hallazgos y recomendaciones. Incluy</w:t>
      </w:r>
      <w:r w:rsidR="00F97248" w:rsidRPr="00F97248">
        <w:rPr>
          <w:rFonts w:ascii="Calibri" w:eastAsia="Times New Roman" w:hAnsi="Calibri" w:cs="Times New Roman"/>
          <w:color w:val="333333"/>
          <w:spacing w:val="-4"/>
          <w:szCs w:val="24"/>
          <w:lang w:eastAsia="es-ES"/>
        </w:rPr>
        <w:t>e</w:t>
      </w:r>
      <w:r w:rsidRPr="00F97248">
        <w:rPr>
          <w:rFonts w:ascii="Calibri" w:eastAsia="Times New Roman" w:hAnsi="Calibri" w:cs="Times New Roman"/>
          <w:color w:val="333333"/>
          <w:spacing w:val="-4"/>
          <w:szCs w:val="24"/>
          <w:lang w:eastAsia="es-ES"/>
        </w:rPr>
        <w:t xml:space="preserve"> (sin limitar</w:t>
      </w:r>
      <w:r w:rsidR="00F97248" w:rsidRPr="00F97248">
        <w:rPr>
          <w:rFonts w:ascii="Calibri" w:eastAsia="Times New Roman" w:hAnsi="Calibri" w:cs="Times New Roman"/>
          <w:color w:val="333333"/>
          <w:spacing w:val="-4"/>
          <w:szCs w:val="24"/>
          <w:lang w:eastAsia="es-ES"/>
        </w:rPr>
        <w:t>t</w:t>
      </w:r>
      <w:r w:rsidRPr="00F97248">
        <w:rPr>
          <w:rFonts w:ascii="Calibri" w:eastAsia="Times New Roman" w:hAnsi="Calibri" w:cs="Times New Roman"/>
          <w:color w:val="333333"/>
          <w:spacing w:val="-4"/>
          <w:szCs w:val="24"/>
          <w:lang w:eastAsia="es-ES"/>
        </w:rPr>
        <w:t>e a ello) una consideración de los puntos siguientes:</w:t>
      </w:r>
    </w:p>
    <w:p w:rsidR="00196505" w:rsidRPr="00F97248" w:rsidRDefault="00196505" w:rsidP="00F97248">
      <w:pPr>
        <w:spacing w:line="360" w:lineRule="auto"/>
        <w:ind w:left="709" w:firstLine="0"/>
        <w:rPr>
          <w:rFonts w:ascii="Calibri" w:eastAsia="Times New Roman" w:hAnsi="Calibri" w:cs="Times New Roman"/>
          <w:color w:val="333333"/>
          <w:spacing w:val="-4"/>
          <w:szCs w:val="24"/>
          <w:lang w:eastAsia="es-ES"/>
        </w:rPr>
      </w:pPr>
    </w:p>
    <w:p w:rsidR="00F2693D" w:rsidRPr="00D565F8" w:rsidRDefault="00024E7B" w:rsidP="00D565F8">
      <w:pPr>
        <w:numPr>
          <w:ilvl w:val="0"/>
          <w:numId w:val="2"/>
        </w:numPr>
        <w:spacing w:after="0" w:line="360" w:lineRule="auto"/>
        <w:rPr>
          <w:rFonts w:ascii="Calibri" w:eastAsia="Times New Roman" w:hAnsi="Calibri" w:cs="Times New Roman"/>
          <w:color w:val="333333"/>
          <w:spacing w:val="-4"/>
          <w:szCs w:val="24"/>
          <w:lang w:eastAsia="es-ES"/>
        </w:rPr>
      </w:pPr>
      <w:r w:rsidRPr="00D565F8">
        <w:rPr>
          <w:rFonts w:ascii="Calibri" w:eastAsia="Times New Roman" w:hAnsi="Calibri" w:cs="Times New Roman"/>
          <w:color w:val="333333"/>
          <w:spacing w:val="-4"/>
          <w:szCs w:val="24"/>
          <w:lang w:eastAsia="es-ES"/>
        </w:rPr>
        <w:t xml:space="preserve">La cantidad recomendada </w:t>
      </w:r>
      <w:r w:rsidRPr="00D565F8">
        <w:rPr>
          <w:rFonts w:ascii="Calibri" w:eastAsia="Times New Roman" w:hAnsi="Calibri" w:cs="Times New Roman"/>
          <w:color w:val="333333"/>
          <w:spacing w:val="-4"/>
          <w:szCs w:val="24"/>
          <w:lang w:eastAsia="es-ES"/>
        </w:rPr>
        <w:t>de má</w:t>
      </w:r>
      <w:r w:rsidRPr="00D565F8">
        <w:rPr>
          <w:rFonts w:ascii="Calibri" w:eastAsia="Times New Roman" w:hAnsi="Calibri" w:cs="Times New Roman"/>
          <w:color w:val="333333"/>
          <w:spacing w:val="-4"/>
          <w:szCs w:val="24"/>
          <w:lang w:eastAsia="es-ES"/>
        </w:rPr>
        <w:t xml:space="preserve">quinas </w:t>
      </w:r>
      <w:proofErr w:type="spellStart"/>
      <w:r w:rsidRPr="00D565F8">
        <w:rPr>
          <w:rFonts w:ascii="Calibri" w:eastAsia="Times New Roman" w:hAnsi="Calibri" w:cs="Times New Roman"/>
          <w:color w:val="333333"/>
          <w:spacing w:val="-4"/>
          <w:szCs w:val="24"/>
          <w:lang w:eastAsia="es-ES"/>
        </w:rPr>
        <w:t>BodyPlus</w:t>
      </w:r>
      <w:proofErr w:type="spellEnd"/>
      <w:r w:rsidRPr="00D565F8">
        <w:rPr>
          <w:rFonts w:ascii="Calibri" w:eastAsia="Times New Roman" w:hAnsi="Calibri" w:cs="Times New Roman"/>
          <w:color w:val="333333"/>
          <w:spacing w:val="-4"/>
          <w:szCs w:val="24"/>
          <w:lang w:eastAsia="es-ES"/>
        </w:rPr>
        <w:t xml:space="preserve"> 100 y </w:t>
      </w:r>
      <w:proofErr w:type="spellStart"/>
      <w:r w:rsidRPr="00D565F8">
        <w:rPr>
          <w:rFonts w:ascii="Calibri" w:eastAsia="Times New Roman" w:hAnsi="Calibri" w:cs="Times New Roman"/>
          <w:color w:val="333333"/>
          <w:spacing w:val="-4"/>
          <w:szCs w:val="24"/>
          <w:lang w:eastAsia="es-ES"/>
        </w:rPr>
        <w:t>BodyPlus</w:t>
      </w:r>
      <w:proofErr w:type="spellEnd"/>
      <w:r w:rsidRPr="00D565F8">
        <w:rPr>
          <w:rFonts w:ascii="Calibri" w:eastAsia="Times New Roman" w:hAnsi="Calibri" w:cs="Times New Roman"/>
          <w:color w:val="333333"/>
          <w:spacing w:val="-4"/>
          <w:szCs w:val="24"/>
          <w:lang w:eastAsia="es-ES"/>
        </w:rPr>
        <w:t xml:space="preserve"> 200 a producir.</w:t>
      </w:r>
    </w:p>
    <w:p w:rsidR="00F2693D" w:rsidRPr="00D565F8" w:rsidRDefault="00024E7B" w:rsidP="00D565F8">
      <w:pPr>
        <w:numPr>
          <w:ilvl w:val="0"/>
          <w:numId w:val="2"/>
        </w:numPr>
        <w:spacing w:after="0" w:line="360" w:lineRule="auto"/>
        <w:rPr>
          <w:rFonts w:ascii="Calibri" w:eastAsia="Times New Roman" w:hAnsi="Calibri" w:cs="Times New Roman"/>
          <w:color w:val="333333"/>
          <w:spacing w:val="-4"/>
          <w:szCs w:val="24"/>
          <w:lang w:eastAsia="es-ES"/>
        </w:rPr>
      </w:pPr>
      <w:r w:rsidRPr="00D565F8">
        <w:rPr>
          <w:rFonts w:ascii="Calibri" w:eastAsia="Times New Roman" w:hAnsi="Calibri" w:cs="Times New Roman"/>
          <w:color w:val="333333"/>
          <w:spacing w:val="-4"/>
          <w:szCs w:val="24"/>
          <w:lang w:eastAsia="es-ES"/>
        </w:rPr>
        <w:t xml:space="preserve">El efecto sobre las utilidades del requerimiento de que la cantidad de unidades de la </w:t>
      </w:r>
      <w:proofErr w:type="spellStart"/>
      <w:r w:rsidRPr="00D565F8">
        <w:rPr>
          <w:rFonts w:ascii="Calibri" w:eastAsia="Times New Roman" w:hAnsi="Calibri" w:cs="Times New Roman"/>
          <w:color w:val="333333"/>
          <w:spacing w:val="-4"/>
          <w:szCs w:val="24"/>
          <w:lang w:eastAsia="es-ES"/>
        </w:rPr>
        <w:t>BodyPlus</w:t>
      </w:r>
      <w:proofErr w:type="spellEnd"/>
      <w:r w:rsidRPr="00D565F8">
        <w:rPr>
          <w:rFonts w:ascii="Calibri" w:eastAsia="Times New Roman" w:hAnsi="Calibri" w:cs="Times New Roman"/>
          <w:color w:val="333333"/>
          <w:spacing w:val="-4"/>
          <w:szCs w:val="24"/>
          <w:lang w:eastAsia="es-ES"/>
        </w:rPr>
        <w:t xml:space="preserve"> 200 producidas sea po</w:t>
      </w:r>
      <w:r w:rsidRPr="00D565F8">
        <w:rPr>
          <w:rFonts w:ascii="Calibri" w:eastAsia="Times New Roman" w:hAnsi="Calibri" w:cs="Times New Roman"/>
          <w:color w:val="333333"/>
          <w:spacing w:val="-4"/>
          <w:szCs w:val="24"/>
          <w:lang w:eastAsia="es-ES"/>
        </w:rPr>
        <w:t>r lo menos 25 % de la producció</w:t>
      </w:r>
      <w:r w:rsidRPr="00D565F8">
        <w:rPr>
          <w:rFonts w:ascii="Calibri" w:eastAsia="Times New Roman" w:hAnsi="Calibri" w:cs="Times New Roman"/>
          <w:color w:val="333333"/>
          <w:spacing w:val="-4"/>
          <w:szCs w:val="24"/>
          <w:lang w:eastAsia="es-ES"/>
        </w:rPr>
        <w:t>n total</w:t>
      </w:r>
      <w:r w:rsidRPr="00D565F8">
        <w:rPr>
          <w:rFonts w:ascii="Calibri" w:eastAsia="Times New Roman" w:hAnsi="Calibri" w:cs="Times New Roman"/>
          <w:color w:val="333333"/>
          <w:spacing w:val="-4"/>
          <w:szCs w:val="24"/>
          <w:lang w:eastAsia="es-ES"/>
        </w:rPr>
        <w:t>.</w:t>
      </w:r>
    </w:p>
    <w:p w:rsidR="00196505" w:rsidRPr="00196505" w:rsidRDefault="00196505" w:rsidP="00196505">
      <w:pPr>
        <w:spacing w:after="0" w:line="360" w:lineRule="auto"/>
        <w:ind w:left="360" w:firstLine="0"/>
        <w:rPr>
          <w:rFonts w:ascii="Calibri" w:eastAsia="Times New Roman" w:hAnsi="Calibri" w:cs="Times New Roman"/>
          <w:color w:val="333333"/>
          <w:szCs w:val="24"/>
          <w:lang w:eastAsia="es-ES"/>
        </w:rPr>
      </w:pPr>
    </w:p>
    <w:p w:rsidR="00196505" w:rsidRPr="00196505" w:rsidRDefault="00196505" w:rsidP="00196505">
      <w:pPr>
        <w:spacing w:after="0" w:line="360" w:lineRule="auto"/>
        <w:ind w:firstLine="0"/>
        <w:contextualSpacing w:val="0"/>
        <w:rPr>
          <w:rFonts w:ascii="Calibri" w:eastAsia="Times New Roman" w:hAnsi="Calibri" w:cs="Times New Roman"/>
          <w:b/>
          <w:color w:val="333333"/>
          <w:szCs w:val="24"/>
          <w:lang w:eastAsia="es-ES"/>
        </w:rPr>
      </w:pPr>
      <w:r w:rsidRPr="00196505">
        <w:rPr>
          <w:rFonts w:ascii="Calibri" w:eastAsia="Times New Roman" w:hAnsi="Calibri" w:cs="Times New Roman"/>
          <w:b/>
          <w:color w:val="333333"/>
          <w:szCs w:val="24"/>
          <w:lang w:eastAsia="es-ES"/>
        </w:rPr>
        <w:t>Criterios de evaluación</w:t>
      </w:r>
      <w:bookmarkStart w:id="1" w:name="_GoBack"/>
      <w:bookmarkEnd w:id="1"/>
    </w:p>
    <w:p w:rsidR="00196505" w:rsidRPr="00196505" w:rsidRDefault="00196505" w:rsidP="00196505">
      <w:pPr>
        <w:spacing w:after="0" w:line="360" w:lineRule="auto"/>
        <w:ind w:firstLine="0"/>
        <w:contextualSpacing w:val="0"/>
        <w:rPr>
          <w:rFonts w:ascii="Calibri" w:eastAsia="Times New Roman" w:hAnsi="Calibri" w:cs="Times New Roman"/>
          <w:b/>
          <w:color w:val="333333"/>
          <w:szCs w:val="24"/>
          <w:lang w:eastAsia="es-ES"/>
        </w:rPr>
      </w:pPr>
    </w:p>
    <w:p w:rsidR="00196505" w:rsidRPr="00196505" w:rsidRDefault="00196505" w:rsidP="00196505">
      <w:pPr>
        <w:spacing w:after="0" w:line="360" w:lineRule="auto"/>
        <w:ind w:firstLine="0"/>
        <w:contextualSpacing w:val="0"/>
        <w:rPr>
          <w:rFonts w:ascii="Calibri" w:eastAsia="Times New Roman" w:hAnsi="Calibri" w:cs="Times New Roman"/>
          <w:color w:val="333333"/>
          <w:szCs w:val="24"/>
          <w:lang w:eastAsia="es-ES"/>
        </w:rPr>
      </w:pPr>
      <w:r w:rsidRPr="00196505">
        <w:rPr>
          <w:rFonts w:ascii="Calibri" w:eastAsia="Times New Roman" w:hAnsi="Calibri" w:cs="Times New Roman"/>
          <w:color w:val="333333"/>
          <w:szCs w:val="24"/>
          <w:lang w:eastAsia="es-ES"/>
        </w:rPr>
        <w:t>La evaluación se realizará de acuerdo con las siguientes especificaciones:</w:t>
      </w:r>
    </w:p>
    <w:p w:rsidR="00196505" w:rsidRPr="00196505" w:rsidRDefault="00196505" w:rsidP="00196505">
      <w:pPr>
        <w:spacing w:after="0" w:line="360" w:lineRule="auto"/>
        <w:ind w:firstLine="0"/>
        <w:contextualSpacing w:val="0"/>
        <w:rPr>
          <w:rFonts w:ascii="Calibri" w:eastAsia="Times New Roman" w:hAnsi="Calibri" w:cs="Times New Roman"/>
          <w:color w:val="333333"/>
          <w:szCs w:val="24"/>
          <w:lang w:eastAsia="es-ES"/>
        </w:rPr>
      </w:pPr>
    </w:p>
    <w:tbl>
      <w:tblPr>
        <w:tblStyle w:val="TablaUNIR1"/>
        <w:tblW w:w="0" w:type="auto"/>
        <w:jc w:val="center"/>
        <w:tblLook w:val="04A0" w:firstRow="1" w:lastRow="0" w:firstColumn="1" w:lastColumn="0" w:noHBand="0" w:noVBand="1"/>
      </w:tblPr>
      <w:tblGrid>
        <w:gridCol w:w="4206"/>
        <w:gridCol w:w="1650"/>
      </w:tblGrid>
      <w:tr w:rsidR="00196505" w:rsidRPr="00196505" w:rsidTr="00D10BA3">
        <w:trPr>
          <w:cnfStyle w:val="100000000000" w:firstRow="1" w:lastRow="0" w:firstColumn="0" w:lastColumn="0" w:oddVBand="0" w:evenVBand="0" w:oddHBand="0" w:evenHBand="0" w:firstRowFirstColumn="0" w:firstRowLastColumn="0" w:lastRowFirstColumn="0" w:lastRowLastColumn="0"/>
          <w:trHeight w:val="510"/>
          <w:jc w:val="center"/>
        </w:trPr>
        <w:tc>
          <w:tcPr>
            <w:tcW w:w="4206" w:type="dxa"/>
            <w:vAlign w:val="center"/>
          </w:tcPr>
          <w:p w:rsidR="00196505" w:rsidRPr="00196505" w:rsidRDefault="00196505" w:rsidP="00196505">
            <w:pPr>
              <w:ind w:firstLine="0"/>
              <w:contextualSpacing w:val="0"/>
              <w:jc w:val="center"/>
              <w:rPr>
                <w:rFonts w:ascii="Calibri" w:hAnsi="Calibri" w:cs="UnitOT-Medi"/>
                <w:b/>
                <w:sz w:val="20"/>
                <w:szCs w:val="20"/>
                <w:lang w:eastAsia="es-ES"/>
              </w:rPr>
            </w:pPr>
            <w:proofErr w:type="gramStart"/>
            <w:r w:rsidRPr="00196505">
              <w:rPr>
                <w:rFonts w:ascii="Calibri" w:hAnsi="Calibri" w:cs="UnitOT-Medi"/>
                <w:b/>
                <w:sz w:val="20"/>
                <w:szCs w:val="20"/>
                <w:lang w:eastAsia="es-ES"/>
              </w:rPr>
              <w:t>Aspecto a evaluar</w:t>
            </w:r>
            <w:proofErr w:type="gramEnd"/>
          </w:p>
        </w:tc>
        <w:tc>
          <w:tcPr>
            <w:tcW w:w="1650" w:type="dxa"/>
            <w:vAlign w:val="center"/>
          </w:tcPr>
          <w:p w:rsidR="00196505" w:rsidRPr="00196505" w:rsidRDefault="00196505" w:rsidP="00196505">
            <w:pPr>
              <w:ind w:firstLine="0"/>
              <w:contextualSpacing w:val="0"/>
              <w:jc w:val="center"/>
              <w:rPr>
                <w:rFonts w:ascii="Calibri" w:hAnsi="Calibri" w:cs="UnitOT-Light"/>
                <w:sz w:val="20"/>
                <w:szCs w:val="20"/>
                <w:lang w:eastAsia="es-ES"/>
              </w:rPr>
            </w:pPr>
            <w:r w:rsidRPr="00196505">
              <w:rPr>
                <w:rFonts w:ascii="Calibri" w:hAnsi="Calibri" w:cs="UnitOT-Medi"/>
                <w:b/>
                <w:sz w:val="20"/>
                <w:szCs w:val="20"/>
                <w:lang w:eastAsia="es-ES"/>
              </w:rPr>
              <w:t>Porcentaje de evaluación</w:t>
            </w:r>
          </w:p>
        </w:tc>
      </w:tr>
      <w:tr w:rsidR="00196505" w:rsidRPr="00196505" w:rsidTr="00D10BA3">
        <w:trPr>
          <w:trHeight w:val="510"/>
          <w:jc w:val="center"/>
        </w:trPr>
        <w:tc>
          <w:tcPr>
            <w:tcW w:w="4206" w:type="dxa"/>
          </w:tcPr>
          <w:p w:rsidR="00196505" w:rsidRPr="00196505" w:rsidRDefault="00196505" w:rsidP="00196505">
            <w:pPr>
              <w:spacing w:line="360" w:lineRule="auto"/>
              <w:ind w:firstLine="0"/>
              <w:contextualSpacing w:val="0"/>
              <w:jc w:val="left"/>
              <w:rPr>
                <w:rFonts w:ascii="Calibri" w:hAnsi="Calibri" w:cs="UnitOT-Medi"/>
                <w:bCs/>
                <w:sz w:val="20"/>
                <w:szCs w:val="20"/>
                <w:lang w:eastAsia="es-ES"/>
              </w:rPr>
            </w:pPr>
            <w:r w:rsidRPr="00196505">
              <w:rPr>
                <w:rFonts w:ascii="Calibri" w:hAnsi="Calibri" w:cs="UnitOT-Medi"/>
                <w:bCs/>
                <w:sz w:val="20"/>
                <w:szCs w:val="20"/>
                <w:lang w:eastAsia="es-ES"/>
              </w:rPr>
              <w:t>Construcción del modelo</w:t>
            </w:r>
          </w:p>
        </w:tc>
        <w:tc>
          <w:tcPr>
            <w:tcW w:w="1650" w:type="dxa"/>
          </w:tcPr>
          <w:p w:rsidR="00196505" w:rsidRPr="00196505" w:rsidRDefault="00196505" w:rsidP="00196505">
            <w:pPr>
              <w:spacing w:line="360" w:lineRule="auto"/>
              <w:ind w:firstLine="0"/>
              <w:contextualSpacing w:val="0"/>
              <w:jc w:val="center"/>
              <w:rPr>
                <w:rFonts w:ascii="Calibri" w:hAnsi="Calibri" w:cs="UnitOT-Light"/>
                <w:sz w:val="20"/>
                <w:szCs w:val="20"/>
                <w:lang w:eastAsia="es-ES"/>
              </w:rPr>
            </w:pPr>
            <w:r w:rsidRPr="00196505">
              <w:rPr>
                <w:rFonts w:ascii="Calibri" w:hAnsi="Calibri" w:cs="UnitOT-Light"/>
                <w:sz w:val="20"/>
                <w:szCs w:val="20"/>
                <w:lang w:eastAsia="es-ES"/>
              </w:rPr>
              <w:t>35%</w:t>
            </w:r>
          </w:p>
        </w:tc>
      </w:tr>
      <w:tr w:rsidR="00196505" w:rsidRPr="00196505" w:rsidTr="00D10BA3">
        <w:trPr>
          <w:trHeight w:val="510"/>
          <w:jc w:val="center"/>
        </w:trPr>
        <w:tc>
          <w:tcPr>
            <w:tcW w:w="4206" w:type="dxa"/>
          </w:tcPr>
          <w:p w:rsidR="00196505" w:rsidRPr="00196505" w:rsidRDefault="00196505" w:rsidP="00196505">
            <w:pPr>
              <w:spacing w:line="360" w:lineRule="auto"/>
              <w:ind w:firstLine="0"/>
              <w:contextualSpacing w:val="0"/>
              <w:jc w:val="left"/>
              <w:rPr>
                <w:rFonts w:ascii="Calibri" w:hAnsi="Calibri" w:cs="UnitOT-Medi"/>
                <w:bCs/>
                <w:sz w:val="20"/>
                <w:szCs w:val="20"/>
                <w:lang w:eastAsia="es-ES"/>
              </w:rPr>
            </w:pPr>
            <w:r w:rsidRPr="00196505">
              <w:rPr>
                <w:rFonts w:ascii="Calibri" w:hAnsi="Calibri" w:cs="UnitOT-Medi"/>
                <w:bCs/>
                <w:sz w:val="20"/>
                <w:szCs w:val="20"/>
                <w:lang w:eastAsia="es-ES"/>
              </w:rPr>
              <w:t xml:space="preserve">Solución a través de método gráfico haciendo uso del </w:t>
            </w:r>
            <w:r w:rsidRPr="00196505">
              <w:rPr>
                <w:rFonts w:ascii="Calibri" w:hAnsi="Calibri" w:cs="UnitOT-Medi"/>
                <w:bCs/>
                <w:i/>
                <w:sz w:val="20"/>
                <w:szCs w:val="20"/>
                <w:lang w:eastAsia="es-ES"/>
              </w:rPr>
              <w:t xml:space="preserve">software </w:t>
            </w:r>
            <w:proofErr w:type="spellStart"/>
            <w:r w:rsidRPr="00196505">
              <w:rPr>
                <w:rFonts w:ascii="Calibri" w:hAnsi="Calibri" w:cs="UnitOT-Medi"/>
                <w:bCs/>
                <w:sz w:val="20"/>
                <w:szCs w:val="20"/>
                <w:lang w:eastAsia="es-ES"/>
              </w:rPr>
              <w:t>Geogebra</w:t>
            </w:r>
            <w:proofErr w:type="spellEnd"/>
          </w:p>
        </w:tc>
        <w:tc>
          <w:tcPr>
            <w:tcW w:w="1650" w:type="dxa"/>
          </w:tcPr>
          <w:p w:rsidR="00196505" w:rsidRPr="00196505" w:rsidRDefault="00196505" w:rsidP="00196505">
            <w:pPr>
              <w:spacing w:line="360" w:lineRule="auto"/>
              <w:ind w:firstLine="0"/>
              <w:contextualSpacing w:val="0"/>
              <w:jc w:val="center"/>
              <w:rPr>
                <w:rFonts w:ascii="Calibri" w:hAnsi="Calibri" w:cs="UnitOT-Light"/>
                <w:sz w:val="20"/>
                <w:szCs w:val="20"/>
                <w:lang w:eastAsia="es-ES"/>
              </w:rPr>
            </w:pPr>
            <w:r w:rsidRPr="00196505">
              <w:rPr>
                <w:rFonts w:ascii="Calibri" w:hAnsi="Calibri" w:cs="UnitOT-Light"/>
                <w:sz w:val="20"/>
                <w:szCs w:val="20"/>
                <w:lang w:eastAsia="es-ES"/>
              </w:rPr>
              <w:t>20%</w:t>
            </w:r>
          </w:p>
        </w:tc>
      </w:tr>
      <w:tr w:rsidR="00196505" w:rsidRPr="00196505" w:rsidTr="00D10BA3">
        <w:trPr>
          <w:trHeight w:val="510"/>
          <w:jc w:val="center"/>
        </w:trPr>
        <w:tc>
          <w:tcPr>
            <w:tcW w:w="4206" w:type="dxa"/>
          </w:tcPr>
          <w:p w:rsidR="00196505" w:rsidRPr="00196505" w:rsidRDefault="00196505" w:rsidP="00196505">
            <w:pPr>
              <w:spacing w:line="360" w:lineRule="auto"/>
              <w:ind w:firstLine="0"/>
              <w:contextualSpacing w:val="0"/>
              <w:jc w:val="left"/>
              <w:rPr>
                <w:rFonts w:ascii="Calibri" w:hAnsi="Calibri" w:cs="UnitOT-Medi"/>
                <w:bCs/>
                <w:sz w:val="20"/>
                <w:szCs w:val="20"/>
                <w:lang w:eastAsia="es-ES"/>
              </w:rPr>
            </w:pPr>
            <w:r w:rsidRPr="00196505">
              <w:rPr>
                <w:rFonts w:ascii="Calibri" w:hAnsi="Calibri" w:cs="UnitOT-Medi"/>
                <w:bCs/>
                <w:sz w:val="20"/>
                <w:szCs w:val="20"/>
                <w:lang w:eastAsia="es-ES"/>
              </w:rPr>
              <w:t xml:space="preserve">Implementación en el </w:t>
            </w:r>
            <w:r w:rsidRPr="00196505">
              <w:rPr>
                <w:rFonts w:ascii="Calibri" w:hAnsi="Calibri" w:cs="UnitOT-Medi"/>
                <w:bCs/>
                <w:i/>
                <w:sz w:val="20"/>
                <w:szCs w:val="20"/>
                <w:lang w:eastAsia="es-ES"/>
              </w:rPr>
              <w:t>software</w:t>
            </w:r>
            <w:r w:rsidRPr="00196505">
              <w:rPr>
                <w:rFonts w:ascii="Calibri" w:hAnsi="Calibri" w:cs="UnitOT-Medi"/>
                <w:bCs/>
                <w:sz w:val="20"/>
                <w:szCs w:val="20"/>
                <w:lang w:eastAsia="es-ES"/>
              </w:rPr>
              <w:t xml:space="preserve"> GLPK</w:t>
            </w:r>
          </w:p>
        </w:tc>
        <w:tc>
          <w:tcPr>
            <w:tcW w:w="1650" w:type="dxa"/>
          </w:tcPr>
          <w:p w:rsidR="00196505" w:rsidRPr="00196505" w:rsidRDefault="00196505" w:rsidP="00196505">
            <w:pPr>
              <w:spacing w:line="360" w:lineRule="auto"/>
              <w:ind w:firstLine="0"/>
              <w:contextualSpacing w:val="0"/>
              <w:jc w:val="center"/>
              <w:rPr>
                <w:rFonts w:ascii="Calibri" w:hAnsi="Calibri" w:cs="UnitOT-Light"/>
                <w:sz w:val="20"/>
                <w:szCs w:val="20"/>
                <w:lang w:eastAsia="es-ES"/>
              </w:rPr>
            </w:pPr>
            <w:r w:rsidRPr="00196505">
              <w:rPr>
                <w:rFonts w:ascii="Calibri" w:hAnsi="Calibri" w:cs="UnitOT-Light"/>
                <w:sz w:val="20"/>
                <w:szCs w:val="20"/>
                <w:lang w:eastAsia="es-ES"/>
              </w:rPr>
              <w:t>20%</w:t>
            </w:r>
          </w:p>
        </w:tc>
      </w:tr>
      <w:tr w:rsidR="00196505" w:rsidRPr="00196505" w:rsidTr="00D10BA3">
        <w:trPr>
          <w:trHeight w:val="510"/>
          <w:jc w:val="center"/>
        </w:trPr>
        <w:tc>
          <w:tcPr>
            <w:tcW w:w="4206" w:type="dxa"/>
          </w:tcPr>
          <w:p w:rsidR="00196505" w:rsidRPr="00196505" w:rsidRDefault="00196505" w:rsidP="00196505">
            <w:pPr>
              <w:spacing w:line="360" w:lineRule="auto"/>
              <w:ind w:firstLine="0"/>
              <w:contextualSpacing w:val="0"/>
              <w:jc w:val="left"/>
              <w:rPr>
                <w:rFonts w:ascii="Calibri" w:hAnsi="Calibri" w:cs="UnitOT-Medi"/>
                <w:bCs/>
                <w:sz w:val="20"/>
                <w:szCs w:val="20"/>
                <w:lang w:eastAsia="es-ES"/>
              </w:rPr>
            </w:pPr>
            <w:r w:rsidRPr="00196505">
              <w:rPr>
                <w:rFonts w:ascii="Calibri" w:hAnsi="Calibri" w:cs="UnitOT-Medi"/>
                <w:bCs/>
                <w:sz w:val="20"/>
                <w:szCs w:val="20"/>
                <w:lang w:eastAsia="es-ES"/>
              </w:rPr>
              <w:t>Interpretación de resultados</w:t>
            </w:r>
          </w:p>
        </w:tc>
        <w:tc>
          <w:tcPr>
            <w:tcW w:w="1650" w:type="dxa"/>
          </w:tcPr>
          <w:p w:rsidR="00196505" w:rsidRPr="00196505" w:rsidRDefault="00196505" w:rsidP="00196505">
            <w:pPr>
              <w:spacing w:line="360" w:lineRule="auto"/>
              <w:ind w:firstLine="0"/>
              <w:contextualSpacing w:val="0"/>
              <w:jc w:val="center"/>
              <w:rPr>
                <w:rFonts w:ascii="Calibri" w:hAnsi="Calibri" w:cs="UnitOT-Light"/>
                <w:sz w:val="20"/>
                <w:szCs w:val="20"/>
                <w:lang w:eastAsia="es-ES"/>
              </w:rPr>
            </w:pPr>
            <w:r w:rsidRPr="00196505">
              <w:rPr>
                <w:rFonts w:ascii="Calibri" w:hAnsi="Calibri" w:cs="UnitOT-Light"/>
                <w:sz w:val="20"/>
                <w:szCs w:val="20"/>
                <w:lang w:eastAsia="es-ES"/>
              </w:rPr>
              <w:t>25%</w:t>
            </w:r>
          </w:p>
        </w:tc>
      </w:tr>
    </w:tbl>
    <w:p w:rsidR="00196505" w:rsidRPr="00196505" w:rsidRDefault="00196505" w:rsidP="00196505">
      <w:pPr>
        <w:spacing w:after="0" w:line="360" w:lineRule="auto"/>
        <w:ind w:left="360" w:firstLine="0"/>
        <w:rPr>
          <w:rFonts w:ascii="Calibri" w:eastAsia="Times New Roman" w:hAnsi="Calibri" w:cs="Times New Roman"/>
          <w:color w:val="333333"/>
          <w:szCs w:val="24"/>
          <w:lang w:eastAsia="es-ES"/>
        </w:rPr>
      </w:pPr>
    </w:p>
    <w:p w:rsidR="00196505" w:rsidRPr="00196505" w:rsidRDefault="00196505" w:rsidP="00196505">
      <w:pPr>
        <w:spacing w:after="0" w:line="360" w:lineRule="auto"/>
        <w:ind w:firstLine="0"/>
        <w:contextualSpacing w:val="0"/>
        <w:rPr>
          <w:rFonts w:ascii="Calibri" w:eastAsia="Times New Roman" w:hAnsi="Calibri" w:cs="Times New Roman"/>
          <w:color w:val="333333"/>
          <w:szCs w:val="24"/>
          <w:lang w:eastAsia="es-ES"/>
        </w:rPr>
      </w:pPr>
      <w:r w:rsidRPr="00196505">
        <w:rPr>
          <w:rFonts w:ascii="Calibri" w:eastAsia="Times New Roman" w:hAnsi="Calibri" w:cs="Times New Roman"/>
          <w:b/>
          <w:color w:val="333333"/>
          <w:szCs w:val="24"/>
          <w:lang w:eastAsia="es-ES"/>
        </w:rPr>
        <w:t>Extensión</w:t>
      </w:r>
      <w:r w:rsidRPr="00196505">
        <w:rPr>
          <w:rFonts w:ascii="Calibri" w:eastAsia="Times New Roman" w:hAnsi="Calibri" w:cs="Times New Roman"/>
          <w:color w:val="333333"/>
          <w:szCs w:val="24"/>
          <w:lang w:eastAsia="es-ES"/>
        </w:rPr>
        <w:t xml:space="preserve"> máxima de la actividad: 10 páginas, fuente Calibri 1</w:t>
      </w:r>
      <w:r w:rsidR="00D565F8">
        <w:rPr>
          <w:rFonts w:ascii="Calibri" w:eastAsia="Times New Roman" w:hAnsi="Calibri" w:cs="Times New Roman"/>
          <w:color w:val="333333"/>
          <w:szCs w:val="24"/>
          <w:lang w:eastAsia="es-ES"/>
        </w:rPr>
        <w:t>2</w:t>
      </w:r>
      <w:r w:rsidRPr="00196505">
        <w:rPr>
          <w:rFonts w:ascii="Calibri" w:eastAsia="Times New Roman" w:hAnsi="Calibri" w:cs="Times New Roman"/>
          <w:color w:val="333333"/>
          <w:szCs w:val="24"/>
          <w:lang w:eastAsia="es-ES"/>
        </w:rPr>
        <w:t xml:space="preserve"> e interlineado 1,5 puntos.</w:t>
      </w:r>
    </w:p>
    <w:p w:rsidR="00B92EE6" w:rsidRDefault="00B92EE6"/>
    <w:sectPr w:rsidR="00B92EE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E7B" w:rsidRDefault="00024E7B" w:rsidP="00F97248">
      <w:pPr>
        <w:spacing w:after="0" w:line="240" w:lineRule="auto"/>
      </w:pPr>
      <w:r>
        <w:separator/>
      </w:r>
    </w:p>
  </w:endnote>
  <w:endnote w:type="continuationSeparator" w:id="0">
    <w:p w:rsidR="00024E7B" w:rsidRDefault="00024E7B" w:rsidP="00F97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UnitOT-Light">
    <w:altName w:val="Segoe Script"/>
    <w:panose1 w:val="00000000000000000000"/>
    <w:charset w:val="00"/>
    <w:family w:val="swiss"/>
    <w:notTrueType/>
    <w:pitch w:val="variable"/>
    <w:sig w:usb0="800000EF" w:usb1="5000207B" w:usb2="00000028" w:usb3="00000000" w:csb0="00000001" w:csb1="00000000"/>
  </w:font>
  <w:font w:name="UnitOT-Medi">
    <w:altName w:val="Arial"/>
    <w:panose1 w:val="00000000000000000000"/>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E7B" w:rsidRDefault="00024E7B" w:rsidP="00F97248">
      <w:pPr>
        <w:spacing w:after="0" w:line="240" w:lineRule="auto"/>
      </w:pPr>
      <w:r>
        <w:separator/>
      </w:r>
    </w:p>
  </w:footnote>
  <w:footnote w:type="continuationSeparator" w:id="0">
    <w:p w:rsidR="00024E7B" w:rsidRDefault="00024E7B" w:rsidP="00F97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F97248" w:rsidRPr="00F97248" w:rsidTr="00D10BA3">
      <w:trPr>
        <w:cnfStyle w:val="100000000000" w:firstRow="1" w:lastRow="0" w:firstColumn="0" w:lastColumn="0" w:oddVBand="0" w:evenVBand="0" w:oddHBand="0" w:evenHBand="0" w:firstRowFirstColumn="0" w:firstRowLastColumn="0" w:lastRowFirstColumn="0" w:lastRowLastColumn="0"/>
        <w:trHeight w:val="283"/>
      </w:trPr>
      <w:tc>
        <w:tcPr>
          <w:tcW w:w="2552" w:type="dxa"/>
        </w:tcPr>
        <w:p w:rsidR="00F97248" w:rsidRPr="00F97248" w:rsidRDefault="00F97248" w:rsidP="00F97248">
          <w:pPr>
            <w:tabs>
              <w:tab w:val="center" w:pos="4252"/>
              <w:tab w:val="right" w:pos="8504"/>
            </w:tabs>
            <w:ind w:firstLine="0"/>
            <w:contextualSpacing w:val="0"/>
            <w:jc w:val="center"/>
            <w:rPr>
              <w:rFonts w:ascii="Calibri" w:hAnsi="Calibri" w:cs="UnitOT-Medi"/>
              <w:color w:val="0098CD"/>
              <w:sz w:val="22"/>
              <w:lang w:eastAsia="es-ES"/>
            </w:rPr>
          </w:pPr>
          <w:r w:rsidRPr="00F97248">
            <w:rPr>
              <w:rFonts w:ascii="Calibri" w:hAnsi="Calibri" w:cs="UnitOT-Medi"/>
              <w:color w:val="0098CD"/>
              <w:sz w:val="22"/>
              <w:lang w:eastAsia="es-ES"/>
            </w:rPr>
            <w:t>Asignatura</w:t>
          </w:r>
        </w:p>
      </w:tc>
      <w:tc>
        <w:tcPr>
          <w:tcW w:w="3827" w:type="dxa"/>
        </w:tcPr>
        <w:p w:rsidR="00F97248" w:rsidRPr="00F97248" w:rsidRDefault="00F97248" w:rsidP="00F97248">
          <w:pPr>
            <w:tabs>
              <w:tab w:val="center" w:pos="4252"/>
              <w:tab w:val="right" w:pos="8504"/>
            </w:tabs>
            <w:ind w:firstLine="0"/>
            <w:contextualSpacing w:val="0"/>
            <w:jc w:val="center"/>
            <w:rPr>
              <w:rFonts w:ascii="Calibri" w:hAnsi="Calibri" w:cs="UnitOT-Medi"/>
              <w:color w:val="0098CD"/>
              <w:sz w:val="22"/>
              <w:lang w:eastAsia="es-ES"/>
            </w:rPr>
          </w:pPr>
          <w:r w:rsidRPr="00F97248">
            <w:rPr>
              <w:rFonts w:ascii="Calibri" w:hAnsi="Calibri" w:cs="UnitOT-Medi"/>
              <w:color w:val="0098CD"/>
              <w:sz w:val="22"/>
              <w:lang w:eastAsia="es-ES"/>
            </w:rPr>
            <w:t>Datos del alumno</w:t>
          </w:r>
        </w:p>
      </w:tc>
      <w:tc>
        <w:tcPr>
          <w:tcW w:w="1831" w:type="dxa"/>
        </w:tcPr>
        <w:p w:rsidR="00F97248" w:rsidRPr="00F97248" w:rsidRDefault="00F97248" w:rsidP="00F97248">
          <w:pPr>
            <w:tabs>
              <w:tab w:val="center" w:pos="4252"/>
              <w:tab w:val="right" w:pos="8504"/>
            </w:tabs>
            <w:ind w:firstLine="0"/>
            <w:contextualSpacing w:val="0"/>
            <w:jc w:val="center"/>
            <w:rPr>
              <w:rFonts w:ascii="Calibri" w:hAnsi="Calibri" w:cs="UnitOT-Medi"/>
              <w:color w:val="0098CD"/>
              <w:sz w:val="22"/>
              <w:lang w:eastAsia="es-ES"/>
            </w:rPr>
          </w:pPr>
          <w:r w:rsidRPr="00F97248">
            <w:rPr>
              <w:rFonts w:ascii="Calibri" w:hAnsi="Calibri" w:cs="UnitOT-Medi"/>
              <w:color w:val="0098CD"/>
              <w:sz w:val="22"/>
              <w:lang w:eastAsia="es-ES"/>
            </w:rPr>
            <w:t>Fecha</w:t>
          </w:r>
        </w:p>
      </w:tc>
    </w:tr>
    <w:tr w:rsidR="00F97248" w:rsidRPr="00F97248" w:rsidTr="00F97248">
      <w:trPr>
        <w:trHeight w:val="342"/>
      </w:trPr>
      <w:tc>
        <w:tcPr>
          <w:tcW w:w="2552" w:type="dxa"/>
          <w:vMerge w:val="restart"/>
        </w:tcPr>
        <w:p w:rsidR="00F97248" w:rsidRPr="00F97248" w:rsidRDefault="00F97248" w:rsidP="00F97248">
          <w:pPr>
            <w:ind w:firstLine="0"/>
            <w:contextualSpacing w:val="0"/>
            <w:jc w:val="center"/>
            <w:rPr>
              <w:rFonts w:ascii="Calibri" w:hAnsi="Calibri" w:cs="UnitOT-Medi"/>
              <w:b/>
              <w:bCs/>
              <w:sz w:val="22"/>
              <w:lang w:eastAsia="es-ES"/>
            </w:rPr>
          </w:pPr>
          <w:r w:rsidRPr="00F97248">
            <w:rPr>
              <w:rFonts w:ascii="Calibri" w:hAnsi="Calibri" w:cs="UnitOT-Medi"/>
              <w:b/>
              <w:bCs/>
              <w:sz w:val="22"/>
              <w:lang w:eastAsia="es-ES"/>
            </w:rPr>
            <w:t>Investigación de Operaciones</w:t>
          </w:r>
        </w:p>
      </w:tc>
      <w:tc>
        <w:tcPr>
          <w:tcW w:w="3827" w:type="dxa"/>
        </w:tcPr>
        <w:p w:rsidR="00F97248" w:rsidRPr="00F97248" w:rsidRDefault="00F97248" w:rsidP="00F97248">
          <w:pPr>
            <w:tabs>
              <w:tab w:val="center" w:pos="4252"/>
              <w:tab w:val="right" w:pos="8504"/>
            </w:tabs>
            <w:ind w:firstLine="0"/>
            <w:contextualSpacing w:val="0"/>
            <w:rPr>
              <w:rFonts w:ascii="Calibri" w:hAnsi="Calibri" w:cs="Times New Roman"/>
              <w:sz w:val="22"/>
              <w:lang w:eastAsia="es-ES"/>
            </w:rPr>
          </w:pPr>
          <w:r w:rsidRPr="00F97248">
            <w:rPr>
              <w:rFonts w:ascii="Calibri" w:hAnsi="Calibri" w:cs="Times New Roman"/>
              <w:sz w:val="22"/>
              <w:lang w:eastAsia="es-ES"/>
            </w:rPr>
            <w:t xml:space="preserve">Apellidos: </w:t>
          </w:r>
        </w:p>
      </w:tc>
      <w:tc>
        <w:tcPr>
          <w:tcW w:w="1831" w:type="dxa"/>
          <w:vMerge w:val="restart"/>
        </w:tcPr>
        <w:p w:rsidR="00F97248" w:rsidRPr="00F97248" w:rsidRDefault="00F97248" w:rsidP="00F97248">
          <w:pPr>
            <w:tabs>
              <w:tab w:val="center" w:pos="4252"/>
              <w:tab w:val="right" w:pos="8504"/>
            </w:tabs>
            <w:ind w:firstLine="0"/>
            <w:contextualSpacing w:val="0"/>
            <w:jc w:val="center"/>
            <w:rPr>
              <w:rFonts w:ascii="Calibri" w:hAnsi="Calibri" w:cs="Times New Roman"/>
              <w:szCs w:val="24"/>
              <w:lang w:eastAsia="es-ES"/>
            </w:rPr>
          </w:pPr>
        </w:p>
      </w:tc>
    </w:tr>
    <w:tr w:rsidR="00F97248" w:rsidRPr="00F97248" w:rsidTr="00F97248">
      <w:trPr>
        <w:trHeight w:val="342"/>
      </w:trPr>
      <w:tc>
        <w:tcPr>
          <w:tcW w:w="2552" w:type="dxa"/>
          <w:vMerge/>
        </w:tcPr>
        <w:p w:rsidR="00F97248" w:rsidRPr="00F97248" w:rsidRDefault="00F97248" w:rsidP="00F97248">
          <w:pPr>
            <w:tabs>
              <w:tab w:val="center" w:pos="4252"/>
              <w:tab w:val="right" w:pos="8504"/>
            </w:tabs>
            <w:ind w:firstLine="0"/>
            <w:contextualSpacing w:val="0"/>
            <w:rPr>
              <w:rFonts w:ascii="Calibri" w:hAnsi="Calibri" w:cs="Times New Roman"/>
              <w:szCs w:val="24"/>
              <w:lang w:eastAsia="es-ES"/>
            </w:rPr>
          </w:pPr>
        </w:p>
      </w:tc>
      <w:tc>
        <w:tcPr>
          <w:tcW w:w="3827" w:type="dxa"/>
        </w:tcPr>
        <w:p w:rsidR="00F97248" w:rsidRPr="00F97248" w:rsidRDefault="00F97248" w:rsidP="00F97248">
          <w:pPr>
            <w:tabs>
              <w:tab w:val="center" w:pos="4252"/>
              <w:tab w:val="right" w:pos="8504"/>
            </w:tabs>
            <w:ind w:firstLine="0"/>
            <w:contextualSpacing w:val="0"/>
            <w:rPr>
              <w:rFonts w:ascii="Calibri" w:hAnsi="Calibri" w:cs="Times New Roman"/>
              <w:sz w:val="22"/>
              <w:lang w:eastAsia="es-ES"/>
            </w:rPr>
          </w:pPr>
          <w:r w:rsidRPr="00F97248">
            <w:rPr>
              <w:rFonts w:ascii="Calibri" w:hAnsi="Calibri" w:cs="Times New Roman"/>
              <w:sz w:val="22"/>
              <w:lang w:eastAsia="es-ES"/>
            </w:rPr>
            <w:t>Nombre:</w:t>
          </w:r>
        </w:p>
      </w:tc>
      <w:tc>
        <w:tcPr>
          <w:tcW w:w="1831" w:type="dxa"/>
          <w:vMerge/>
        </w:tcPr>
        <w:p w:rsidR="00F97248" w:rsidRPr="00F97248" w:rsidRDefault="00F97248" w:rsidP="00F97248">
          <w:pPr>
            <w:tabs>
              <w:tab w:val="center" w:pos="4252"/>
              <w:tab w:val="right" w:pos="8504"/>
            </w:tabs>
            <w:ind w:firstLine="0"/>
            <w:contextualSpacing w:val="0"/>
            <w:rPr>
              <w:rFonts w:ascii="Calibri" w:hAnsi="Calibri" w:cs="Times New Roman"/>
              <w:szCs w:val="24"/>
              <w:lang w:eastAsia="es-ES"/>
            </w:rPr>
          </w:pPr>
        </w:p>
      </w:tc>
    </w:tr>
  </w:tbl>
  <w:p w:rsidR="00F97248" w:rsidRDefault="00F972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F6026"/>
    <w:multiLevelType w:val="multilevel"/>
    <w:tmpl w:val="B37C3B20"/>
    <w:numStyleLink w:val="VietasUNIR"/>
  </w:abstractNum>
  <w:abstractNum w:abstractNumId="1"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
  </w:num>
  <w:num w:numId="2">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05"/>
    <w:rsid w:val="00024E7B"/>
    <w:rsid w:val="00196505"/>
    <w:rsid w:val="0057657A"/>
    <w:rsid w:val="0065574F"/>
    <w:rsid w:val="0070014B"/>
    <w:rsid w:val="00A0788D"/>
    <w:rsid w:val="00AC36F6"/>
    <w:rsid w:val="00B92EE6"/>
    <w:rsid w:val="00BB7269"/>
    <w:rsid w:val="00CD288F"/>
    <w:rsid w:val="00D31235"/>
    <w:rsid w:val="00D565F8"/>
    <w:rsid w:val="00EA43C9"/>
    <w:rsid w:val="00F97248"/>
    <w:rsid w:val="00FB13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6F541"/>
  <w15:chartTrackingRefBased/>
  <w15:docId w15:val="{AF68AED4-A7AF-4CB2-AB69-B9F1ABC5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6F6"/>
    <w:pPr>
      <w:ind w:firstLine="709"/>
      <w:contextualSpacing/>
      <w:jc w:val="both"/>
    </w:pPr>
    <w:rPr>
      <w:rFonts w:ascii="Garamond" w:hAnsi="Garamond"/>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UNIR1">
    <w:name w:val="TablaUNIR_1"/>
    <w:basedOn w:val="Tablanormal"/>
    <w:uiPriority w:val="99"/>
    <w:rsid w:val="00196505"/>
    <w:pPr>
      <w:spacing w:after="0" w:line="240" w:lineRule="auto"/>
    </w:pPr>
    <w:rPr>
      <w:rFonts w:ascii="Calibri" w:eastAsia="Times New Roman" w:hAnsi="Calibri"/>
      <w:color w:val="333333"/>
      <w:sz w:val="20"/>
    </w:rPr>
    <w:tblPr>
      <w:tblStyleColBandSize w:val="1"/>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tblStylePr w:type="firstRow">
      <w:rPr>
        <w:rFonts w:ascii="Bahnschrift SemiLight" w:hAnsi="Bahnschrift SemiLight"/>
        <w:color w:val="FFFFFF"/>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paragraph" w:styleId="Encabezado">
    <w:name w:val="header"/>
    <w:basedOn w:val="Normal"/>
    <w:link w:val="EncabezadoCar"/>
    <w:uiPriority w:val="99"/>
    <w:unhideWhenUsed/>
    <w:rsid w:val="00F972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7248"/>
    <w:rPr>
      <w:rFonts w:ascii="Garamond" w:hAnsi="Garamond"/>
      <w:sz w:val="24"/>
    </w:rPr>
  </w:style>
  <w:style w:type="paragraph" w:styleId="Piedepgina">
    <w:name w:val="footer"/>
    <w:basedOn w:val="Normal"/>
    <w:link w:val="PiedepginaCar"/>
    <w:uiPriority w:val="99"/>
    <w:unhideWhenUsed/>
    <w:rsid w:val="00F972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7248"/>
    <w:rPr>
      <w:rFonts w:ascii="Garamond" w:hAnsi="Garamond"/>
      <w:sz w:val="24"/>
    </w:rPr>
  </w:style>
  <w:style w:type="table" w:customStyle="1" w:styleId="TablaUNIR3">
    <w:name w:val="Tabla UNIR 3"/>
    <w:basedOn w:val="Tablanormal"/>
    <w:uiPriority w:val="99"/>
    <w:rsid w:val="00F97248"/>
    <w:pPr>
      <w:spacing w:after="0" w:line="240" w:lineRule="auto"/>
    </w:pPr>
    <w:rPr>
      <w:rFonts w:ascii="UnitOT-Light" w:eastAsia="Times New Roman"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styleId="Prrafodelista">
    <w:name w:val="List Paragraph"/>
    <w:basedOn w:val="Normal"/>
    <w:uiPriority w:val="98"/>
    <w:qFormat/>
    <w:rsid w:val="00D565F8"/>
    <w:pPr>
      <w:spacing w:after="0" w:line="360" w:lineRule="auto"/>
      <w:ind w:left="720" w:firstLine="0"/>
    </w:pPr>
    <w:rPr>
      <w:rFonts w:ascii="Calibri" w:eastAsia="Times New Roman" w:hAnsi="Calibri" w:cs="Times New Roman"/>
      <w:color w:val="333333"/>
      <w:szCs w:val="24"/>
      <w:lang w:eastAsia="es-ES"/>
    </w:rPr>
  </w:style>
  <w:style w:type="numbering" w:customStyle="1" w:styleId="VietasUNIR">
    <w:name w:val="ViñetasUNIR"/>
    <w:basedOn w:val="Sinlista"/>
    <w:uiPriority w:val="99"/>
    <w:rsid w:val="00D565F8"/>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907</Words>
  <Characters>4990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Penalva Martínez</dc:creator>
  <cp:keywords/>
  <dc:description/>
  <cp:lastModifiedBy>Andrea Penalva Martínez</cp:lastModifiedBy>
  <cp:revision>1</cp:revision>
  <dcterms:created xsi:type="dcterms:W3CDTF">2020-07-07T14:51:00Z</dcterms:created>
  <dcterms:modified xsi:type="dcterms:W3CDTF">2020-07-07T16:03:00Z</dcterms:modified>
</cp:coreProperties>
</file>