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Calibri" w:cs="Calibri" w:eastAsia="Calibri" w:hAnsi="Calibri"/>
        </w:rPr>
      </w:pPr>
      <w:r w:rsidDel="00000000" w:rsidR="00000000" w:rsidRPr="00000000">
        <w:rPr>
          <w:rFonts w:ascii="Calibri" w:cs="Calibri" w:eastAsia="Calibri" w:hAnsi="Calibri"/>
          <w:b w:val="1"/>
          <w:bCs w:val="1"/>
          <w:sz w:val="48"/>
          <w:szCs w:val="48"/>
          <w:rtl w:val="0"/>
        </w:rPr>
        <w:t xml:space="preserve">Bank Customer Churn Analysis</w:t>
      </w:r>
      <w:r w:rsidDel="00000000" w:rsidR="00000000" w:rsidRPr="00000000">
        <w:rPr>
          <w:rtl w:val="0"/>
        </w:rPr>
      </w:r>
    </w:p>
    <w:p w:rsidR="00000000" w:rsidDel="00000000" w:rsidP="00000000" w:rsidRDefault="00000000" w:rsidRPr="00000000" w14:paraId="00000002">
      <w:pPr>
        <w:spacing w:after="120" w:lineRule="auto"/>
        <w:rPr>
          <w:rFonts w:ascii="Calibri" w:cs="Calibri" w:eastAsia="Calibri" w:hAnsi="Calibri"/>
        </w:rPr>
      </w:pPr>
      <w:r w:rsidDel="00000000" w:rsidR="00000000" w:rsidRPr="00000000">
        <w:rPr>
          <w:rFonts w:ascii="Calibri" w:cs="Calibri" w:eastAsia="Calibri" w:hAnsi="Calibri"/>
          <w:i w:val="1"/>
          <w:iCs w:val="1"/>
          <w:sz w:val="24"/>
          <w:szCs w:val="24"/>
          <w:rtl w:val="0"/>
        </w:rPr>
        <w:t xml:space="preserve">Portfolio Project | Oscar Eche</w:t>
      </w:r>
      <w:r w:rsidDel="00000000" w:rsidR="00000000" w:rsidRPr="00000000">
        <w:rPr>
          <w:rtl w:val="0"/>
        </w:rPr>
      </w:r>
    </w:p>
    <w:p w:rsidR="00000000" w:rsidDel="00000000" w:rsidP="00000000" w:rsidRDefault="00000000" w:rsidRPr="00000000" w14:paraId="00000003">
      <w:pPr>
        <w:spacing w:after="400" w:lineRule="auto"/>
        <w:rPr>
          <w:rFonts w:ascii="Calibri" w:cs="Calibri" w:eastAsia="Calibri" w:hAnsi="Calibri"/>
          <w:color w:val="cc0000"/>
        </w:rPr>
      </w:pPr>
      <w:r w:rsidDel="00000000" w:rsidR="00000000" w:rsidRPr="00000000">
        <w:rPr>
          <w:rFonts w:ascii="Calibri" w:cs="Calibri" w:eastAsia="Calibri" w:hAnsi="Calibri"/>
          <w:b w:val="1"/>
          <w:bCs w:val="1"/>
          <w:color w:val="cc0000"/>
          <w:sz w:val="24"/>
          <w:szCs w:val="24"/>
          <w:rtl w:val="0"/>
        </w:rPr>
        <w:t xml:space="preserve">Base churn rate: 20.37% (2,037 of 10,000 customers)</w:t>
      </w:r>
      <w:r w:rsidDel="00000000" w:rsidR="00000000" w:rsidRPr="00000000">
        <w:rPr>
          <w:rtl w:val="0"/>
        </w:rPr>
      </w:r>
    </w:p>
    <w:p w:rsidR="00000000" w:rsidDel="00000000" w:rsidP="00000000" w:rsidRDefault="00000000" w:rsidRPr="00000000" w14:paraId="00000004">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The Problem</w:t>
      </w:r>
    </w:p>
    <w:p w:rsidR="00000000" w:rsidDel="00000000" w:rsidP="00000000" w:rsidRDefault="00000000" w:rsidRPr="00000000" w14:paraId="00000005">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Banks lose customers. That’s not news. But understanding why they leave, and more importantly who is likely to leave next, is the difference between reactive damage control and proactive retention. Customer churn is expensive. Acquiring a new customer costs significantly more than keeping an existing one, and every departure represents lost revenue, lost cross-selling opportunities, and a signal that something in the experience isn’t working.</w:t>
      </w:r>
      <w:r w:rsidDel="00000000" w:rsidR="00000000" w:rsidRPr="00000000">
        <w:rPr>
          <w:rtl w:val="0"/>
        </w:rPr>
      </w:r>
    </w:p>
    <w:p w:rsidR="00000000" w:rsidDel="00000000" w:rsidP="00000000" w:rsidRDefault="00000000" w:rsidRPr="00000000" w14:paraId="00000006">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project takes a dataset of 10,000 bank customers and digs into the patterns behind churn. The goal isn’t just to describe what happened. It’s to surface actionable insight that a retention team could actually use.</w:t>
      </w:r>
      <w:r w:rsidDel="00000000" w:rsidR="00000000" w:rsidRPr="00000000">
        <w:rPr>
          <w:rtl w:val="0"/>
        </w:rPr>
      </w:r>
    </w:p>
    <w:p w:rsidR="00000000" w:rsidDel="00000000" w:rsidP="00000000" w:rsidRDefault="00000000" w:rsidRPr="00000000" w14:paraId="00000007">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Objectives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Who is churning and why?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Profile customers who leave the bank by their demographic, financial, and behavioural characteristics to identify the common traits of a churned customer.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2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Where is the risk concentrated?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Quantify churn rates across key customer segments to identify which groups are most vulnerable and represent the greatest volume or financial exposure.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20" w:lineRule="auto"/>
        <w:ind w:left="72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What are the early warning signs?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Identify patterns and combinations of factors that signal a customer is at risk of leaving before they actually do.</w:t>
      </w:r>
    </w:p>
    <w:p w:rsidR="00000000" w:rsidDel="00000000" w:rsidP="00000000" w:rsidRDefault="00000000" w:rsidRPr="00000000" w14:paraId="0000000B">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Key Findings</w:t>
      </w:r>
    </w:p>
    <w:p w:rsidR="00000000" w:rsidDel="00000000" w:rsidP="00000000" w:rsidRDefault="00000000" w:rsidRPr="00000000" w14:paraId="0000000D">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1: The 46-60 age group is the bank’s biggest churn problem</w:t>
      </w:r>
    </w:p>
    <w:p w:rsidR="00000000" w:rsidDel="00000000" w:rsidP="00000000" w:rsidRDefault="00000000" w:rsidRPr="00000000" w14:paraId="0000000E">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51.12% </w:t>
      </w:r>
      <w:r w:rsidDel="00000000" w:rsidR="00000000" w:rsidRPr="00000000">
        <w:rPr>
          <w:rFonts w:ascii="Calibri" w:cs="Calibri" w:eastAsia="Calibri" w:hAnsi="Calibri"/>
          <w:sz w:val="22"/>
          <w:szCs w:val="22"/>
          <w:rtl w:val="0"/>
        </w:rPr>
        <w:t xml:space="preserve">churn rate for the 46-60 age bracket, 2.5 times the base rate.</w:t>
      </w:r>
      <w:r w:rsidDel="00000000" w:rsidR="00000000" w:rsidRPr="00000000">
        <w:rPr>
          <w:rtl w:val="0"/>
        </w:rPr>
      </w:r>
    </w:p>
    <w:p w:rsidR="00000000" w:rsidDel="00000000" w:rsidP="00000000" w:rsidRDefault="00000000" w:rsidRPr="00000000" w14:paraId="0000000F">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isn’t a single-market issue. It holds across all three countries: Germany (67.33%), France (45.79%), and Spain (40.66%). The 18-30 age group is the most loyal at just 7.52%. Something specific is pushing middle-aged customers away, and it’s happening everywhere.</w:t>
      </w:r>
      <w:r w:rsidDel="00000000" w:rsidR="00000000" w:rsidRPr="00000000">
        <w:rPr>
          <w:rtl w:val="0"/>
        </w:rPr>
      </w:r>
    </w:p>
    <w:p w:rsidR="00000000" w:rsidDel="00000000" w:rsidP="00000000" w:rsidRDefault="00000000" w:rsidRPr="00000000" w14:paraId="00000010">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2: Customers with 3-4 products churn at catastrophic rates</w:t>
      </w:r>
    </w:p>
    <w:p w:rsidR="00000000" w:rsidDel="00000000" w:rsidP="00000000" w:rsidRDefault="00000000" w:rsidRPr="00000000" w14:paraId="00000011">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82.71% </w:t>
      </w:r>
      <w:r w:rsidDel="00000000" w:rsidR="00000000" w:rsidRPr="00000000">
        <w:rPr>
          <w:rFonts w:ascii="Calibri" w:cs="Calibri" w:eastAsia="Calibri" w:hAnsi="Calibri"/>
          <w:sz w:val="22"/>
          <w:szCs w:val="22"/>
          <w:rtl w:val="0"/>
        </w:rPr>
        <w:t xml:space="preserve">of 3-product customers left. 100% of 4-product customers left. Every single one.</w:t>
      </w:r>
      <w:r w:rsidDel="00000000" w:rsidR="00000000" w:rsidRPr="00000000">
        <w:rPr>
          <w:rtl w:val="0"/>
        </w:rPr>
      </w:r>
    </w:p>
    <w:p w:rsidR="00000000" w:rsidDel="00000000" w:rsidP="00000000" w:rsidRDefault="00000000" w:rsidRPr="00000000" w14:paraId="00000012">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Even active customers with 3-4 products churn at 80.28%. Activity doesn’t protect them. The problem is the products themselves, not engagement. Cross-selling beyond 2 products is actively associated with customer loss.</w:t>
      </w:r>
      <w:r w:rsidDel="00000000" w:rsidR="00000000" w:rsidRPr="00000000">
        <w:rPr>
          <w:rtl w:val="0"/>
        </w:rPr>
      </w:r>
    </w:p>
    <w:p w:rsidR="00000000" w:rsidDel="00000000" w:rsidP="00000000" w:rsidRDefault="00000000" w:rsidRPr="00000000" w14:paraId="00000013">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3: Women churn significantly more than men across all markets</w:t>
      </w:r>
    </w:p>
    <w:p w:rsidR="00000000" w:rsidDel="00000000" w:rsidP="00000000" w:rsidRDefault="00000000" w:rsidRPr="00000000" w14:paraId="00000014">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25.07% vs 16.46%. </w:t>
      </w:r>
      <w:r w:rsidDel="00000000" w:rsidR="00000000" w:rsidRPr="00000000">
        <w:rPr>
          <w:rFonts w:ascii="Calibri" w:cs="Calibri" w:eastAsia="Calibri" w:hAnsi="Calibri"/>
          <w:sz w:val="22"/>
          <w:szCs w:val="22"/>
          <w:rtl w:val="0"/>
        </w:rPr>
        <w:t xml:space="preserve">Roughly 3 women leave for every 2 men.</w:t>
      </w:r>
      <w:r w:rsidDel="00000000" w:rsidR="00000000" w:rsidRPr="00000000">
        <w:rPr>
          <w:rtl w:val="0"/>
        </w:rPr>
      </w:r>
    </w:p>
    <w:p w:rsidR="00000000" w:rsidDel="00000000" w:rsidP="00000000" w:rsidRDefault="00000000" w:rsidRPr="00000000" w14:paraId="00000015">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gap is consistent across all three countries (France: 20.34% vs 12.71%, Germany: 37.55% vs 27.81%, Spain: 21.21% vs 13.11%), confirming it as an independent factor, not a side effect of the Germany problem.</w:t>
      </w:r>
      <w:r w:rsidDel="00000000" w:rsidR="00000000" w:rsidRPr="00000000">
        <w:rPr>
          <w:rtl w:val="0"/>
        </w:rPr>
      </w:r>
    </w:p>
    <w:p w:rsidR="00000000" w:rsidDel="00000000" w:rsidP="00000000" w:rsidRDefault="00000000" w:rsidRPr="00000000" w14:paraId="00000016">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4: Germany’s churn rate is double that of France and Spain</w:t>
      </w:r>
    </w:p>
    <w:p w:rsidR="00000000" w:rsidDel="00000000" w:rsidP="00000000" w:rsidRDefault="00000000" w:rsidRPr="00000000" w14:paraId="00000017">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32.44% </w:t>
      </w:r>
      <w:r w:rsidDel="00000000" w:rsidR="00000000" w:rsidRPr="00000000">
        <w:rPr>
          <w:rFonts w:ascii="Calibri" w:cs="Calibri" w:eastAsia="Calibri" w:hAnsi="Calibri"/>
          <w:sz w:val="22"/>
          <w:szCs w:val="22"/>
          <w:rtl w:val="0"/>
        </w:rPr>
        <w:t xml:space="preserve">churn in Germany compared to 16.15% (France) and 16.67% (Spain).</w:t>
      </w:r>
      <w:r w:rsidDel="00000000" w:rsidR="00000000" w:rsidRPr="00000000">
        <w:rPr>
          <w:rtl w:val="0"/>
        </w:rPr>
      </w:r>
    </w:p>
    <w:p w:rsidR="00000000" w:rsidDel="00000000" w:rsidP="00000000" w:rsidRDefault="00000000" w:rsidRPr="00000000" w14:paraId="00000018">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Germany + 46-60 combination reaches 67.33%. Germany + 46-60 + inactive hits 80.80%. Germany + 46-60 + 3-4 products is 100%. There is a market-specific problem that compounds with other risk factors.</w:t>
      </w:r>
      <w:r w:rsidDel="00000000" w:rsidR="00000000" w:rsidRPr="00000000">
        <w:rPr>
          <w:rtl w:val="0"/>
        </w:rPr>
      </w:r>
    </w:p>
    <w:p w:rsidR="00000000" w:rsidDel="00000000" w:rsidP="00000000" w:rsidRDefault="00000000" w:rsidRPr="00000000" w14:paraId="00000019">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5: Non-zero balance inactive customers are the highest-volume risk group</w:t>
      </w:r>
    </w:p>
    <w:p w:rsidR="00000000" w:rsidDel="00000000" w:rsidP="00000000" w:rsidRDefault="00000000" w:rsidRPr="00000000" w14:paraId="0000001A">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31.63% </w:t>
      </w:r>
      <w:r w:rsidDel="00000000" w:rsidR="00000000" w:rsidRPr="00000000">
        <w:rPr>
          <w:rFonts w:ascii="Calibri" w:cs="Calibri" w:eastAsia="Calibri" w:hAnsi="Calibri"/>
          <w:sz w:val="22"/>
          <w:szCs w:val="22"/>
          <w:rtl w:val="0"/>
        </w:rPr>
        <w:t xml:space="preserve">churn rate. 3,105 customers. 982 churners.</w:t>
      </w:r>
      <w:r w:rsidDel="00000000" w:rsidR="00000000" w:rsidRPr="00000000">
        <w:rPr>
          <w:rtl w:val="0"/>
        </w:rPr>
      </w:r>
    </w:p>
    <w:p w:rsidR="00000000" w:rsidDel="00000000" w:rsidP="00000000" w:rsidRDefault="00000000" w:rsidRPr="00000000" w14:paraId="0000001B">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In absolute terms, this is where the bank loses the most customers and the most revenue. These are people with actual balances who have disengaged and are taking their money elsewhere.</w:t>
      </w:r>
      <w:r w:rsidDel="00000000" w:rsidR="00000000" w:rsidRPr="00000000">
        <w:rPr>
          <w:rtl w:val="0"/>
        </w:rPr>
      </w:r>
    </w:p>
    <w:p w:rsidR="00000000" w:rsidDel="00000000" w:rsidP="00000000" w:rsidRDefault="00000000" w:rsidRPr="00000000" w14:paraId="0000001C">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6: Two-product customers are the retention sweet spot</w:t>
      </w:r>
    </w:p>
    <w:p w:rsidR="00000000" w:rsidDel="00000000" w:rsidP="00000000" w:rsidRDefault="00000000" w:rsidRPr="00000000" w14:paraId="0000001D">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7.58% </w:t>
      </w:r>
      <w:r w:rsidDel="00000000" w:rsidR="00000000" w:rsidRPr="00000000">
        <w:rPr>
          <w:rFonts w:ascii="Calibri" w:cs="Calibri" w:eastAsia="Calibri" w:hAnsi="Calibri"/>
          <w:sz w:val="22"/>
          <w:szCs w:val="22"/>
          <w:rtl w:val="0"/>
        </w:rPr>
        <w:t xml:space="preserve">churn rate for 2-product customers, the lowest of any product count.</w:t>
      </w:r>
      <w:r w:rsidDel="00000000" w:rsidR="00000000" w:rsidRPr="00000000">
        <w:rPr>
          <w:rtl w:val="0"/>
        </w:rPr>
      </w:r>
    </w:p>
    <w:p w:rsidR="00000000" w:rsidDel="00000000" w:rsidP="00000000" w:rsidRDefault="00000000" w:rsidRPr="00000000" w14:paraId="0000001E">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Even lower than single-product customers (27.71%). This suggests a natural “right amount” of product engagement that the bank should study and replicate rather than pushing for 3 or 4 products.</w:t>
      </w:r>
      <w:r w:rsidDel="00000000" w:rsidR="00000000" w:rsidRPr="00000000">
        <w:rPr>
          <w:rtl w:val="0"/>
        </w:rPr>
      </w:r>
    </w:p>
    <w:p w:rsidR="00000000" w:rsidDel="00000000" w:rsidP="00000000" w:rsidRDefault="00000000" w:rsidRPr="00000000" w14:paraId="0000001F">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Finding 7: Zero-balance customers are an opportunity, not a threat</w:t>
      </w:r>
    </w:p>
    <w:p w:rsidR="00000000" w:rsidDel="00000000" w:rsidP="00000000" w:rsidRDefault="00000000" w:rsidRPr="00000000" w14:paraId="00000020">
      <w:pPr>
        <w:spacing w:after="14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13.82% </w:t>
      </w:r>
      <w:r w:rsidDel="00000000" w:rsidR="00000000" w:rsidRPr="00000000">
        <w:rPr>
          <w:rFonts w:ascii="Calibri" w:cs="Calibri" w:eastAsia="Calibri" w:hAnsi="Calibri"/>
          <w:sz w:val="22"/>
          <w:szCs w:val="22"/>
          <w:rtl w:val="0"/>
        </w:rPr>
        <w:t xml:space="preserve">churn rate, below the base rate. Active zero-balance customers: just 9.61%.</w:t>
      </w:r>
      <w:r w:rsidDel="00000000" w:rsidR="00000000" w:rsidRPr="00000000">
        <w:rPr>
          <w:rtl w:val="0"/>
        </w:rPr>
      </w:r>
    </w:p>
    <w:p w:rsidR="00000000" w:rsidDel="00000000" w:rsidP="00000000" w:rsidRDefault="00000000" w:rsidRPr="00000000" w14:paraId="00000021">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These customers aren’t leaving because they’re not losing anything by staying. But they’re also not generating revenue. They represent a re-engagement and revenue opportunity rather than a retention risk.</w:t>
      </w:r>
      <w:r w:rsidDel="00000000" w:rsidR="00000000" w:rsidRPr="00000000">
        <w:rPr>
          <w:rtl w:val="0"/>
        </w:rPr>
      </w:r>
    </w:p>
    <w:p w:rsidR="00000000" w:rsidDel="00000000" w:rsidP="00000000" w:rsidRDefault="00000000" w:rsidRPr="00000000" w14:paraId="00000022">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Recommendations</w:t>
      </w:r>
    </w:p>
    <w:p w:rsidR="00000000" w:rsidDel="00000000" w:rsidP="00000000" w:rsidRDefault="00000000" w:rsidRPr="00000000" w14:paraId="00000023">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 Investigate the 46-60 age group experience</w:t>
      </w:r>
    </w:p>
    <w:p w:rsidR="00000000" w:rsidDel="00000000" w:rsidP="00000000" w:rsidRDefault="00000000" w:rsidRPr="00000000" w14:paraId="00000024">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Commission qualitative research (surveys, exit interviews) with 46-60 year old customers to understand why they’re leaving at such elevated rates across all markets. This age group likely has specific financial needs (retirement planning, wealth management, mortgage changes) that the bank may not be serving well.</w:t>
      </w:r>
      <w:r w:rsidDel="00000000" w:rsidR="00000000" w:rsidRPr="00000000">
        <w:rPr>
          <w:rtl w:val="0"/>
        </w:rPr>
      </w:r>
    </w:p>
    <w:p w:rsidR="00000000" w:rsidDel="00000000" w:rsidP="00000000" w:rsidRDefault="00000000" w:rsidRPr="00000000" w14:paraId="00000025">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 Audit the 3-4 product portfolio</w:t>
      </w:r>
    </w:p>
    <w:p w:rsidR="00000000" w:rsidDel="00000000" w:rsidP="00000000" w:rsidRDefault="00000000" w:rsidRPr="00000000" w14:paraId="00000026">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Stop aggressive cross-selling beyond 2 products until the bank understands why multi-product customers are leaving at near-total rates. Conduct a product compatibility review to identify whether specific product combinations create friction, fees, or complexity that drives customers away.</w:t>
      </w:r>
      <w:r w:rsidDel="00000000" w:rsidR="00000000" w:rsidRPr="00000000">
        <w:rPr>
          <w:rtl w:val="0"/>
        </w:rPr>
      </w:r>
    </w:p>
    <w:p w:rsidR="00000000" w:rsidDel="00000000" w:rsidP="00000000" w:rsidRDefault="00000000" w:rsidRPr="00000000" w14:paraId="00000027">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 Investigate the gender gap</w:t>
      </w:r>
    </w:p>
    <w:p w:rsidR="00000000" w:rsidDel="00000000" w:rsidP="00000000" w:rsidRDefault="00000000" w:rsidRPr="00000000" w14:paraId="00000028">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The consistent 8-10 percentage point gap between female and male churn rates across all countries warrants investigation. Analyse whether women are disproportionately represented in other high-risk segments (46-60, 3-4 products, inactive) or whether the gap persists after controlling for these factors. Consider whether product design, communication style, or service experience differs by gender.</w:t>
      </w:r>
      <w:r w:rsidDel="00000000" w:rsidR="00000000" w:rsidRPr="00000000">
        <w:rPr>
          <w:rtl w:val="0"/>
        </w:rPr>
      </w:r>
    </w:p>
    <w:p w:rsidR="00000000" w:rsidDel="00000000" w:rsidP="00000000" w:rsidRDefault="00000000" w:rsidRPr="00000000" w14:paraId="00000029">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4. Conduct a Germany-specific market review</w:t>
      </w:r>
    </w:p>
    <w:p w:rsidR="00000000" w:rsidDel="00000000" w:rsidP="00000000" w:rsidRDefault="00000000" w:rsidRPr="00000000" w14:paraId="0000002A">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Germany’s churn rate is double the other markets and compounds with every other risk factor. Investigate competitive landscape, regulatory differences, service quality, and pricing relative to the German banking market. The Germany + 46-60 + inactive segment (80.80% churn) should be the immediate focus.</w:t>
      </w:r>
      <w:r w:rsidDel="00000000" w:rsidR="00000000" w:rsidRPr="00000000">
        <w:rPr>
          <w:rtl w:val="0"/>
        </w:rPr>
      </w:r>
    </w:p>
    <w:p w:rsidR="00000000" w:rsidDel="00000000" w:rsidP="00000000" w:rsidRDefault="00000000" w:rsidRPr="00000000" w14:paraId="0000002B">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5. Build an inactivity early warning system</w:t>
      </w:r>
    </w:p>
    <w:p w:rsidR="00000000" w:rsidDel="00000000" w:rsidP="00000000" w:rsidRDefault="00000000" w:rsidRPr="00000000" w14:paraId="0000002C">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Non-zero balance customers who become inactive represent the highest-volume risk group. The bank should monitor engagement metrics and trigger retention outreach when a customer with a positive balance shows declining activity. The intervention window is between “going quiet” and “formally leaving.”</w:t>
      </w:r>
      <w:r w:rsidDel="00000000" w:rsidR="00000000" w:rsidRPr="00000000">
        <w:rPr>
          <w:rtl w:val="0"/>
        </w:rPr>
      </w:r>
    </w:p>
    <w:p w:rsidR="00000000" w:rsidDel="00000000" w:rsidP="00000000" w:rsidRDefault="00000000" w:rsidRPr="00000000" w14:paraId="0000002D">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6. Study and replicate the 2-product model</w:t>
      </w:r>
    </w:p>
    <w:p w:rsidR="00000000" w:rsidDel="00000000" w:rsidP="00000000" w:rsidRDefault="00000000" w:rsidRPr="00000000" w14:paraId="0000002E">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Understand what makes 2-product customers so stable. Which product combinations have the lowest churn? Use this as the basis for cross-sell strategy rather than pushing for maximum product count. The goal should be the right products, not the most products.</w:t>
      </w:r>
      <w:r w:rsidDel="00000000" w:rsidR="00000000" w:rsidRPr="00000000">
        <w:rPr>
          <w:rtl w:val="0"/>
        </w:rPr>
      </w:r>
    </w:p>
    <w:p w:rsidR="00000000" w:rsidDel="00000000" w:rsidP="00000000" w:rsidRDefault="00000000" w:rsidRPr="00000000" w14:paraId="0000002F">
      <w:pPr>
        <w:pStyle w:val="Heading2"/>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7. Re-engage zero-balance customers for revenue growth</w:t>
      </w:r>
    </w:p>
    <w:p w:rsidR="00000000" w:rsidDel="00000000" w:rsidP="00000000" w:rsidRDefault="00000000" w:rsidRPr="00000000" w14:paraId="00000030">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Zero-balance customers are not at high risk of leaving, but they represent unrealised revenue. Design targeted campaigns to encourage savings, introduce them to fee-generating products, or offer incentives for account funding. Active zero-balance customers (9.61% churn) are especially receptive since they’re already engaged with the bank.</w:t>
      </w:r>
      <w:r w:rsidDel="00000000" w:rsidR="00000000" w:rsidRPr="00000000">
        <w:rPr>
          <w:rtl w:val="0"/>
        </w:rPr>
      </w:r>
    </w:p>
    <w:p w:rsidR="00000000" w:rsidDel="00000000" w:rsidP="00000000" w:rsidRDefault="00000000" w:rsidRPr="00000000" w14:paraId="00000031">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Limitations</w:t>
      </w:r>
    </w:p>
    <w:p w:rsidR="00000000" w:rsidDel="00000000" w:rsidP="00000000" w:rsidRDefault="00000000" w:rsidRPr="00000000" w14:paraId="00000032">
      <w:pPr>
        <w:spacing w:after="180" w:line="320" w:lineRule="auto"/>
        <w:rPr>
          <w:rFonts w:ascii="Calibri" w:cs="Calibri" w:eastAsia="Calibri" w:hAnsi="Calibri"/>
        </w:rPr>
      </w:pPr>
      <w:r w:rsidDel="00000000" w:rsidR="00000000" w:rsidRPr="00000000">
        <w:rPr>
          <w:rFonts w:ascii="Calibri" w:cs="Calibri" w:eastAsia="Calibri" w:hAnsi="Calibri"/>
          <w:sz w:val="22"/>
          <w:szCs w:val="22"/>
          <w:rtl w:val="0"/>
        </w:rPr>
        <w:t xml:space="preserve">This analysis has several boundaries worth acknowledging.</w:t>
      </w:r>
      <w:r w:rsidDel="00000000" w:rsidR="00000000" w:rsidRPr="00000000">
        <w:rPr>
          <w:rtl w:val="0"/>
        </w:rPr>
      </w:r>
    </w:p>
    <w:p w:rsidR="00000000" w:rsidDel="00000000" w:rsidP="00000000" w:rsidRDefault="00000000" w:rsidRPr="00000000" w14:paraId="00000033">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Snapshot data. </w:t>
      </w:r>
      <w:r w:rsidDel="00000000" w:rsidR="00000000" w:rsidRPr="00000000">
        <w:rPr>
          <w:rFonts w:ascii="Calibri" w:cs="Calibri" w:eastAsia="Calibri" w:hAnsi="Calibri"/>
          <w:sz w:val="22"/>
          <w:szCs w:val="22"/>
          <w:rtl w:val="0"/>
        </w:rPr>
        <w:t xml:space="preserve">The dataset is a single point in time. There’s no way to track how customer behaviour changed over time, when engagement declined, or what sequence of events led to churn. Time-series data would significantly strengthen the early warning analysis.</w:t>
      </w:r>
      <w:r w:rsidDel="00000000" w:rsidR="00000000" w:rsidRPr="00000000">
        <w:rPr>
          <w:rtl w:val="0"/>
        </w:rPr>
      </w:r>
    </w:p>
    <w:p w:rsidR="00000000" w:rsidDel="00000000" w:rsidP="00000000" w:rsidRDefault="00000000" w:rsidRPr="00000000" w14:paraId="00000034">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Unknown product details. </w:t>
      </w:r>
      <w:r w:rsidDel="00000000" w:rsidR="00000000" w:rsidRPr="00000000">
        <w:rPr>
          <w:rFonts w:ascii="Calibri" w:cs="Calibri" w:eastAsia="Calibri" w:hAnsi="Calibri"/>
          <w:sz w:val="22"/>
          <w:szCs w:val="22"/>
          <w:rtl w:val="0"/>
        </w:rPr>
        <w:t xml:space="preserve">The dataset tells you how many products a customer holds but not which products. Understanding which specific combinations drive the 3-4 product churn problem requires product-level data.</w:t>
      </w:r>
      <w:r w:rsidDel="00000000" w:rsidR="00000000" w:rsidRPr="00000000">
        <w:rPr>
          <w:rtl w:val="0"/>
        </w:rPr>
      </w:r>
    </w:p>
    <w:p w:rsidR="00000000" w:rsidDel="00000000" w:rsidP="00000000" w:rsidRDefault="00000000" w:rsidRPr="00000000" w14:paraId="00000035">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Ambiguous “active member” definition. </w:t>
      </w:r>
      <w:r w:rsidDel="00000000" w:rsidR="00000000" w:rsidRPr="00000000">
        <w:rPr>
          <w:rFonts w:ascii="Calibri" w:cs="Calibri" w:eastAsia="Calibri" w:hAnsi="Calibri"/>
          <w:sz w:val="22"/>
          <w:szCs w:val="22"/>
          <w:rtl w:val="0"/>
        </w:rPr>
        <w:t xml:space="preserve">The criteria for active vs inactive membership are not defined in the dataset. The findings about activity status are directionally useful but the exact threshold for “active” is unknown.</w:t>
      </w:r>
      <w:r w:rsidDel="00000000" w:rsidR="00000000" w:rsidRPr="00000000">
        <w:rPr>
          <w:rtl w:val="0"/>
        </w:rPr>
      </w:r>
    </w:p>
    <w:p w:rsidR="00000000" w:rsidDel="00000000" w:rsidP="00000000" w:rsidRDefault="00000000" w:rsidRPr="00000000" w14:paraId="00000036">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Estimated salary. </w:t>
      </w:r>
      <w:r w:rsidDel="00000000" w:rsidR="00000000" w:rsidRPr="00000000">
        <w:rPr>
          <w:rFonts w:ascii="Calibri" w:cs="Calibri" w:eastAsia="Calibri" w:hAnsi="Calibri"/>
          <w:sz w:val="22"/>
          <w:szCs w:val="22"/>
          <w:rtl w:val="0"/>
        </w:rPr>
        <w:t xml:space="preserve">The salary column is explicitly an estimate, not verified income. Salary-based conclusions carry this uncertainty.</w:t>
      </w:r>
      <w:r w:rsidDel="00000000" w:rsidR="00000000" w:rsidRPr="00000000">
        <w:rPr>
          <w:rtl w:val="0"/>
        </w:rPr>
      </w:r>
    </w:p>
    <w:p w:rsidR="00000000" w:rsidDel="00000000" w:rsidP="00000000" w:rsidRDefault="00000000" w:rsidRPr="00000000" w14:paraId="00000037">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No causal data. </w:t>
      </w:r>
      <w:r w:rsidDel="00000000" w:rsidR="00000000" w:rsidRPr="00000000">
        <w:rPr>
          <w:rFonts w:ascii="Calibri" w:cs="Calibri" w:eastAsia="Calibri" w:hAnsi="Calibri"/>
          <w:sz w:val="22"/>
          <w:szCs w:val="22"/>
          <w:rtl w:val="0"/>
        </w:rPr>
        <w:t xml:space="preserve">The analysis identifies associations and patterns but cannot determine causation. The 46-60 age group churns at high rates, but the data cannot tell you why. That requires qualitative research.</w:t>
      </w:r>
      <w:r w:rsidDel="00000000" w:rsidR="00000000" w:rsidRPr="00000000">
        <w:rPr>
          <w:rtl w:val="0"/>
        </w:rPr>
      </w:r>
    </w:p>
    <w:p w:rsidR="00000000" w:rsidDel="00000000" w:rsidP="00000000" w:rsidRDefault="00000000" w:rsidRPr="00000000" w14:paraId="00000038">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Small sample sizes in composite segments. </w:t>
      </w:r>
      <w:r w:rsidDel="00000000" w:rsidR="00000000" w:rsidRPr="00000000">
        <w:rPr>
          <w:rFonts w:ascii="Calibri" w:cs="Calibri" w:eastAsia="Calibri" w:hAnsi="Calibri"/>
          <w:sz w:val="22"/>
          <w:szCs w:val="22"/>
          <w:rtl w:val="0"/>
        </w:rPr>
        <w:t xml:space="preserve">Some cross-referenced segments (e.g., Germany + 46-60 + 3-4 products at 38 customers) have small sample sizes. Percentage-based findings for these groups should be treated as directional rather than definitive.</w:t>
      </w:r>
      <w:r w:rsidDel="00000000" w:rsidR="00000000" w:rsidRPr="00000000">
        <w:rPr>
          <w:rtl w:val="0"/>
        </w:rPr>
      </w:r>
    </w:p>
    <w:p w:rsidR="00000000" w:rsidDel="00000000" w:rsidP="00000000" w:rsidRDefault="00000000" w:rsidRPr="00000000" w14:paraId="00000039">
      <w:pPr>
        <w:spacing w:after="180" w:line="320" w:lineRule="auto"/>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Three countries only. </w:t>
      </w:r>
      <w:r w:rsidDel="00000000" w:rsidR="00000000" w:rsidRPr="00000000">
        <w:rPr>
          <w:rFonts w:ascii="Calibri" w:cs="Calibri" w:eastAsia="Calibri" w:hAnsi="Calibri"/>
          <w:sz w:val="22"/>
          <w:szCs w:val="22"/>
          <w:rtl w:val="0"/>
        </w:rPr>
        <w:t xml:space="preserve">Findings are limited to France, Germany, and Spain. Patterns may not generalise to other markets.</w:t>
      </w:r>
      <w:r w:rsidDel="00000000" w:rsidR="00000000" w:rsidRPr="00000000">
        <w:rPr>
          <w:rtl w:val="0"/>
        </w:rPr>
      </w:r>
    </w:p>
    <w:p w:rsidR="00000000" w:rsidDel="00000000" w:rsidP="00000000" w:rsidRDefault="00000000" w:rsidRPr="00000000" w14:paraId="0000003A">
      <w:pPr>
        <w:pStyle w:val="Heading1"/>
        <w:spacing w:after="150" w:before="30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Tools and Techniques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b3a4e" w:val="clear"/>
            <w:tcMar>
              <w:top w:w="80.0" w:type="dxa"/>
              <w:left w:w="120.0" w:type="dxa"/>
              <w:bottom w:w="80.0" w:type="dxa"/>
              <w:right w:w="120.0" w:type="dxa"/>
            </w:tcMar>
          </w:tcPr>
          <w:p w:rsidR="00000000" w:rsidDel="00000000" w:rsidP="00000000" w:rsidRDefault="00000000" w:rsidRPr="00000000" w14:paraId="0000003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Tool / Technique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b3a4e" w:val="clear"/>
            <w:tcMar>
              <w:top w:w="80.0" w:type="dxa"/>
              <w:left w:w="120.0" w:type="dxa"/>
              <w:bottom w:w="80.0" w:type="dxa"/>
              <w:right w:w="120.0" w:type="dxa"/>
            </w:tcMar>
          </w:tcPr>
          <w:p w:rsidR="00000000" w:rsidDel="00000000" w:rsidP="00000000" w:rsidRDefault="00000000" w:rsidRPr="00000000" w14:paraId="0000003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Used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sz w:val="20"/>
                <w:szCs w:val="20"/>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3E">
            <w:pPr>
              <w:rPr>
                <w:rFonts w:ascii="Calibri" w:cs="Calibri" w:eastAsia="Calibri" w:hAnsi="Calibri"/>
              </w:rPr>
            </w:pPr>
            <w:r w:rsidDel="00000000" w:rsidR="00000000" w:rsidRPr="00000000">
              <w:rPr>
                <w:rFonts w:ascii="Calibri" w:cs="Calibri" w:eastAsia="Calibri" w:hAnsi="Calibri"/>
                <w:sz w:val="20"/>
                <w:szCs w:val="20"/>
                <w:rtl w:val="0"/>
              </w:rPr>
              <w:t xml:space="preserve">Data cleaning, health auditing, segment analysis, visualisation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sz w:val="20"/>
                <w:szCs w:val="20"/>
                <w:rtl w:val="0"/>
              </w:rPr>
              <w:t xml:space="preserve">COUNTA / COUNTBLANK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rFonts w:ascii="Calibri" w:cs="Calibri" w:eastAsia="Calibri" w:hAnsi="Calibri"/>
              </w:rPr>
            </w:pPr>
            <w:r w:rsidDel="00000000" w:rsidR="00000000" w:rsidRPr="00000000">
              <w:rPr>
                <w:rFonts w:ascii="Calibri" w:cs="Calibri" w:eastAsia="Calibri" w:hAnsi="Calibri"/>
                <w:sz w:val="20"/>
                <w:szCs w:val="20"/>
                <w:rtl w:val="0"/>
              </w:rPr>
              <w:t xml:space="preserve">Assessing data completeness across all columns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1">
            <w:pPr>
              <w:rPr>
                <w:rFonts w:ascii="Calibri" w:cs="Calibri" w:eastAsia="Calibri" w:hAnsi="Calibri"/>
              </w:rPr>
            </w:pPr>
            <w:r w:rsidDel="00000000" w:rsidR="00000000" w:rsidRPr="00000000">
              <w:rPr>
                <w:rFonts w:ascii="Calibri" w:cs="Calibri" w:eastAsia="Calibri" w:hAnsi="Calibri"/>
                <w:sz w:val="20"/>
                <w:szCs w:val="20"/>
                <w:rtl w:val="0"/>
              </w:rPr>
              <w:t xml:space="preserve">COUNTIFS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2">
            <w:pPr>
              <w:rPr>
                <w:rFonts w:ascii="Calibri" w:cs="Calibri" w:eastAsia="Calibri" w:hAnsi="Calibri"/>
              </w:rPr>
            </w:pPr>
            <w:r w:rsidDel="00000000" w:rsidR="00000000" w:rsidRPr="00000000">
              <w:rPr>
                <w:rFonts w:ascii="Calibri" w:cs="Calibri" w:eastAsia="Calibri" w:hAnsi="Calibri"/>
                <w:sz w:val="20"/>
                <w:szCs w:val="20"/>
                <w:rtl w:val="0"/>
              </w:rPr>
              <w:t xml:space="preserve">Multi-criteria segmentation and cross-referencing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sz w:val="20"/>
                <w:szCs w:val="20"/>
                <w:rtl w:val="0"/>
              </w:rPr>
              <w:t xml:space="preserve">INDIRECT + 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rFonts w:ascii="Calibri" w:cs="Calibri" w:eastAsia="Calibri" w:hAnsi="Calibri"/>
              </w:rPr>
            </w:pPr>
            <w:r w:rsidDel="00000000" w:rsidR="00000000" w:rsidRPr="00000000">
              <w:rPr>
                <w:rFonts w:ascii="Calibri" w:cs="Calibri" w:eastAsia="Calibri" w:hAnsi="Calibri"/>
                <w:sz w:val="20"/>
                <w:szCs w:val="20"/>
                <w:rtl w:val="0"/>
              </w:rPr>
              <w:t xml:space="preserve">Dynamic cross-sheet referencing for scalable formulas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sz w:val="20"/>
                <w:szCs w:val="20"/>
                <w:rtl w:val="0"/>
              </w:rPr>
              <w:t xml:space="preserve">Conditional Formatting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sz w:val="20"/>
                <w:szCs w:val="20"/>
                <w:rtl w:val="0"/>
              </w:rPr>
              <w:t xml:space="preserve">Visual scanning of binary fields and outlier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sz w:val="20"/>
                <w:szCs w:val="20"/>
                <w:rtl w:val="0"/>
              </w:rPr>
              <w:t xml:space="preserve">Derived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sz w:val="20"/>
                <w:szCs w:val="20"/>
                <w:rtl w:val="0"/>
              </w:rPr>
              <w:t xml:space="preserve">age_group (nested IF), balance_salary_ratio, high_product_flag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sz w:val="20"/>
                <w:szCs w:val="20"/>
                <w:rtl w:val="0"/>
              </w:rPr>
              <w:t xml:space="preserve">Combo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sz w:val="20"/>
                <w:szCs w:val="20"/>
                <w:rtl w:val="0"/>
              </w:rPr>
              <w:t xml:space="preserve">Segment overview with base rate reference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sz w:val="20"/>
                <w:szCs w:val="20"/>
                <w:rtl w:val="0"/>
              </w:rPr>
              <w:t xml:space="preserve">Grouped Bar Charts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sz w:val="20"/>
                <w:szCs w:val="20"/>
                <w:rtl w:val="0"/>
              </w:rPr>
              <w:t xml:space="preserve">Cross-segment comparison (product x activity, country x age)</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b3a4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