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Email Accessibility &amp; Dark Mode Guide</w:t>
      </w:r>
    </w:p>
    <w:p>
      <w:pPr>
        <w:pStyle w:val="Heading2"/>
      </w:pPr>
      <w:r>
        <w:t xml:space="preserve">ARIA Roles for Semantic Structure</w:t>
      </w:r>
    </w:p>
    <w:p>
      <w:pPr>
        <w:pStyle w:val="Heading3"/>
      </w:pPr>
      <w:r>
        <w:t xml:space="preserve">Why Use ARIA in Email HTML?</w:t>
      </w:r>
    </w:p>
    <w:p>
      <w:pPr>
        <w:spacing w:after="240"/>
      </w:pPr>
      <w:r>
        <w:t xml:space="preserve">We don't use semantic tags so ARIA roles provide another way to communicate document structure to screen readers.</w:t>
      </w:r>
    </w:p>
    <w:p>
      <w:pPr>
        <w:pStyle w:val="Heading3"/>
      </w:pPr>
      <w:r>
        <w:t xml:space="preserve">Heading Roles</w:t>
      </w:r>
    </w:p>
    <w:p>
      <w:pPr>
        <w:spacing w:after="180"/>
      </w:pPr>
      <w:r>
        <w:t xml:space="preserve">Add role="heading" and aria-level to &lt;td&gt; elements that function as headings.</w:t>
      </w:r>
    </w:p>
    <w:p>
      <w:pPr>
        <w:spacing w:after="120"/>
      </w:pPr>
      <w:r>
        <w:rPr>
          <w:b/>
          <w:bCs/>
        </w:rPr>
        <w:t xml:space="preserve">Example ARIA: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&lt;td class="h1" role="heading" aria-level="1"&gt;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Header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&lt;/td&gt;</w:t>
      </w:r>
    </w:p>
    <w:p>
      <w:pPr>
        <w:spacing w:before="240" w:after="120"/>
      </w:pPr>
      <w:r>
        <w:rPr>
          <w:b/>
          <w:bCs/>
        </w:rPr>
        <w:t xml:space="preserve">Heading Level Guidelines:</w:t>
      </w:r>
    </w:p>
    <w:p>
      <w:pPr>
        <w:pStyle w:val="ListParagraph"/>
        <w:numPr>
          <w:ilvl w:val="0"/>
          <w:numId w:val="2"/>
        </w:numPr>
      </w:pPr>
      <w:r>
        <w:t xml:space="preserve">aria-level="1" - Main title (use once per email, typically for .h1)</w:t>
      </w:r>
    </w:p>
    <w:p>
      <w:pPr>
        <w:pStyle w:val="ListParagraph"/>
        <w:numPr>
          <w:ilvl w:val="0"/>
          <w:numId w:val="2"/>
        </w:numPr>
      </w:pPr>
      <w:r>
        <w:t xml:space="preserve">aria-level="2" - Major sections (typically for .h2)</w:t>
      </w:r>
    </w:p>
    <w:p>
      <w:pPr>
        <w:pStyle w:val="ListParagraph"/>
        <w:numPr>
          <w:ilvl w:val="0"/>
          <w:numId w:val="2"/>
        </w:numPr>
      </w:pPr>
      <w:r>
        <w:t xml:space="preserve">aria-level="3" - Subsections (typically for .h3)</w:t>
      </w:r>
    </w:p>
    <w:p>
      <w:pPr>
        <w:pStyle w:val="ListParagraph"/>
        <w:numPr>
          <w:ilvl w:val="0"/>
          <w:numId w:val="2"/>
        </w:numPr>
      </w:pPr>
      <w:r>
        <w:t xml:space="preserve">aria-level="4" - Minor headings (typically for .h4)</w:t>
      </w:r>
    </w:p>
    <w:p>
      <w:pPr>
        <w:pStyle w:val="ListParagraph"/>
        <w:numPr>
          <w:ilvl w:val="0"/>
          <w:numId w:val="2"/>
        </w:numPr>
      </w:pPr>
      <w:r>
        <w:t xml:space="preserve">aria-level="5" - Small headings (typically for .h5)</w:t>
      </w:r>
    </w:p>
    <w:p>
      <w:pPr>
        <w:spacing w:before="240" w:after="360"/>
      </w:pPr>
      <w:r>
        <w:rPr>
          <w:b/>
          <w:bCs/>
        </w:rPr>
        <w:t xml:space="preserve">Important: </w:t>
      </w:r>
      <w:r>
        <w:t xml:space="preserve">Maintain logical hierarchy. Don't skip levels (e.g., don't go from aria-level="1" to aria-level="4").</w:t>
      </w:r>
    </w:p>
    <w:p>
      <w:pPr>
        <w:pStyle w:val="Heading3"/>
      </w:pPr>
      <w:r>
        <w:t xml:space="preserve">Paragraph Roles</w:t>
      </w:r>
    </w:p>
    <w:p>
      <w:pPr>
        <w:spacing w:after="180"/>
      </w:pPr>
      <w:r>
        <w:t xml:space="preserve">Add role="paragraph" to &lt;td&gt; elements containing body text.</w:t>
      </w:r>
    </w:p>
    <w:p>
      <w:pPr>
        <w:spacing w:after="120"/>
      </w:pPr>
      <w:r>
        <w:rPr>
          <w:b/>
          <w:bCs/>
        </w:rPr>
        <w:t xml:space="preserve">Example: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&lt;td class="p" role="paragraph"&gt;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This study examines the effects of the treatment on patients with HSDD.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&lt;/td&gt;</w:t>
      </w:r>
    </w:p>
    <w:p>
      <w:pPr>
        <w:pStyle w:val="Heading3"/>
        <w:spacing w:before="360"/>
      </w:pPr>
      <w:r>
        <w:t xml:space="preserve">List Roles</w:t>
      </w:r>
    </w:p>
    <w:p>
      <w:pPr>
        <w:spacing w:after="180"/>
      </w:pPr>
      <w:r>
        <w:t xml:space="preserve">Add role="list" to the container table and role="listitem" to each item row.</w:t>
      </w:r>
    </w:p>
    <w:p>
      <w:pPr>
        <w:spacing w:after="120"/>
      </w:pPr>
      <w:r>
        <w:rPr>
          <w:b/>
          <w:bCs/>
        </w:rPr>
        <w:t xml:space="preserve">Example: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&lt;table class="ul" role="list" border="0" cellpadding="0" cellspacing="0"&gt;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&lt;tr role="listitem"&gt;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&lt;td class="li" valign="top" aria-hidden="true"&gt;•&lt;/td&gt;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&lt;td valign="top"&gt;First benefit of the treatment&lt;/td&gt;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&lt;/tr&gt;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&lt;tr role="listitem"&gt;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&lt;td class="li" valign="top" aria-hidden="true"&gt;•&lt;/td&gt;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&lt;td valign="top"&gt;Second benefit of the treatment&lt;/td&gt;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&lt;/tr&gt;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&lt;/table&gt;</w:t>
      </w:r>
    </w:p>
    <w:p>
      <w:pPr>
        <w:spacing w:before="240" w:after="360"/>
      </w:pPr>
      <w:r>
        <w:rPr>
          <w:b/>
          <w:bCs/>
        </w:rPr>
        <w:t xml:space="preserve">Note: </w:t>
      </w:r>
      <w:r>
        <w:t xml:space="preserve">aria-hidden="true" on the bullet prevents screen readers from announcing "bullet" before each item.</w:t>
      </w:r>
    </w:p>
    <w:p>
      <w:pPr>
        <w:pStyle w:val="Heading3"/>
      </w:pPr>
      <w:r>
        <w:t xml:space="preserve">Landmark Roles</w:t>
      </w:r>
    </w:p>
    <w:p>
      <w:pPr>
        <w:spacing w:after="180"/>
      </w:pPr>
      <w:r>
        <w:t xml:space="preserve">Landmark roles help users navigate to major sections of the email.</w:t>
      </w:r>
    </w:p>
    <w:p>
      <w:pPr>
        <w:spacing w:after="120"/>
      </w:pPr>
      <w:r>
        <w:rPr>
          <w:b/>
          <w:bCs/>
        </w:rPr>
        <w:t xml:space="preserve">Common landmarks for email: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&lt;!-- Main content area --&gt;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&lt;td class="content" role="article"&gt;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&lt;!-- Your main email content --&gt;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&lt;/td&gt;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&lt;!-- Header/banner (if applicable) --&gt;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&lt;td class="header" role="banner"&gt;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&lt;!-- Logo, preheader --&gt;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&lt;/td&gt;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&lt;!-- Footer --&gt;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&lt;td class="footer" role="contentinfo"&gt;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&lt;!-- Legal text, unsubscribe, address --&gt;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&lt;/td&gt;</w:t>
      </w:r>
    </w:p>
    <w:p>
      <w:pPr>
        <w:spacing w:before="240" w:after="360"/>
      </w:pPr>
      <w:r>
        <w:rPr>
          <w:b/>
          <w:bCs/>
        </w:rPr>
        <w:t xml:space="preserve">Avoid: </w:t>
      </w:r>
      <w:r>
        <w:t xml:space="preserve">Don't use role="main" or role="navigation" - these are better suited for web pages than emails.</w:t>
      </w:r>
    </w:p>
    <w:p>
      <w:pPr>
        <w:pStyle w:val="Heading4"/>
      </w:pPr>
      <w:r>
        <w:t xml:space="preserve">Background Images with ARIA</w:t>
      </w:r>
    </w:p>
    <w:p>
      <w:pPr>
        <w:spacing w:after="180"/>
      </w:pPr>
      <w:r>
        <w:t xml:space="preserve">When using background images that convey meaning (via CSS or table backgrounds), use a container with role="img" and aria-label.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&lt;td role="img" aria-label="Doctor consulting with patient"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style="background-image: url('consultation.jpg'); width: 600px; height: 400px;"&gt;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&lt;!-- Any text overlay goes here --&gt;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&lt;/td&gt;</w:t>
      </w:r>
    </w:p>
    <w:p>
      <w:pPr>
        <w:pStyle w:val="Heading2"/>
        <w:spacing w:before="480"/>
      </w:pPr>
      <w:r>
        <w:t xml:space="preserve">Dark Mode Support</w:t>
      </w:r>
    </w:p>
    <w:p>
      <w:pPr>
        <w:pStyle w:val="Heading3"/>
      </w:pPr>
      <w:r>
        <w:t xml:space="preserve">Basic Dark Mode CSS</w:t>
      </w:r>
    </w:p>
    <w:p>
      <w:pPr>
        <w:spacing w:after="180"/>
      </w:pPr>
      <w:r>
        <w:t xml:space="preserve">Add this to your &lt;style&gt; block: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/* Dark Mode Media Query */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@media (prefers-color-scheme: dark)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/* Prevent background color inversion */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.white-background { background-color: #ffffff !important; }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.black-background { background-color: #000000 !important; }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/* Prevent text color inversion */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.black { color: #120D0E !important; }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.white { color: #ffffff !important; }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/* Ensure links remain visible */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 { color: #64B5F6 !important; }  /* Lighter blue for dark backgrounds */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/* Preserve brand colors */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.pink { color: #F0ABC1 !important; }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.dk-julep { color: #32AB94 !important; }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pStyle w:val="Heading3"/>
        <w:spacing w:before="360"/>
      </w:pPr>
      <w:r>
        <w:t xml:space="preserve">Specific Dark Mode Fixes</w:t>
      </w:r>
    </w:p>
    <w:p>
      <w:pPr>
        <w:pStyle w:val="Heading4"/>
      </w:pPr>
      <w:r>
        <w:t xml:space="preserve">Preserve Logo/Image Visibility</w:t>
      </w:r>
    </w:p>
    <w:p>
      <w:pPr>
        <w:spacing w:after="180"/>
      </w:pPr>
      <w:r>
        <w:t xml:space="preserve">Logos with transparent backgrounds may disappear in dark mode. Add a white background container: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@media (prefers-color-scheme: dark)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.logo-container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background-color: #ffffff !important;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padding: 10px !important;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pStyle w:val="Heading4"/>
        <w:spacing w:before="360"/>
      </w:pPr>
      <w:r>
        <w:t xml:space="preserve">Force Light Mode for Entire Email</w:t>
      </w:r>
    </w:p>
    <w:p>
      <w:pPr>
        <w:spacing w:after="180"/>
      </w:pPr>
      <w:r>
        <w:t xml:space="preserve">If your email design doesn't work well in dark mode, force light mode: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@media (prefers-color-scheme: dark)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/* Force entire email to light mode */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body, table, td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background-color: #ffffff !important;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color: #000000 !important;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before="240" w:after="240"/>
      </w:pPr>
      <w:r>
        <w:rPr>
          <w:b/>
          <w:bCs/>
        </w:rPr>
        <w:t xml:space="preserve">Note: </w:t>
      </w:r>
      <w:r>
        <w:t xml:space="preserve">This is a last resort. It's better to design for both modes.</w:t>
      </w:r>
    </w:p>
    <w:p>
      <w:pPr>
        <w:pStyle w:val="Heading4"/>
      </w:pPr>
      <w:r>
        <w:t xml:space="preserve">Handle Bordered Elements</w:t>
      </w:r>
    </w:p>
    <w:p>
      <w:pPr>
        <w:spacing w:after="180"/>
      </w:pPr>
      <w:r>
        <w:t xml:space="preserve">Borders can become invisible in dark mode if they match the background: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.border-element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border: 1px solid #cccccc;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@media (prefers-color-scheme: dark)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.border-element {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border-color: #666666 !important;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pStyle w:val="Heading3"/>
        <w:spacing w:before="360"/>
      </w:pPr>
      <w:r>
        <w:t xml:space="preserve">Dark Mode Color Palette Recommendations</w:t>
      </w:r>
    </w:p>
    <w:p>
      <w:pPr>
        <w:spacing w:after="180"/>
      </w:pPr>
      <w:r>
        <w:t xml:space="preserve">When choosing colors that work in both modes:</w:t>
      </w:r>
    </w:p>
    <w:p>
      <w:pPr>
        <w:spacing w:after="120"/>
      </w:pPr>
      <w:r>
        <w:rPr>
          <w:b/>
          <w:bCs/>
        </w:rPr>
        <w:t xml:space="preserve">Text:</w:t>
      </w:r>
    </w:p>
    <w:p>
      <w:pPr>
        <w:pStyle w:val="ListParagraph"/>
        <w:numPr>
          <w:ilvl w:val="0"/>
          <w:numId w:val="2"/>
        </w:numPr>
      </w:pPr>
      <w:r>
        <w:t xml:space="preserve">Light mode: Dark gray (#120D0E) on white (#ffffff)</w:t>
      </w:r>
    </w:p>
    <w:p>
      <w:pPr>
        <w:pStyle w:val="ListParagraph"/>
        <w:numPr>
          <w:ilvl w:val="0"/>
          <w:numId w:val="2"/>
        </w:numPr>
      </w:pPr>
      <w:r>
        <w:t xml:space="preserve">Dark mode: Light gray (#E0E0E0) on dark (#121212)</w:t>
      </w:r>
    </w:p>
    <w:p>
      <w:pPr>
        <w:spacing w:before="240" w:after="120"/>
      </w:pPr>
      <w:r>
        <w:rPr>
          <w:b/>
          <w:bCs/>
        </w:rPr>
        <w:t xml:space="preserve">Links:</w:t>
      </w:r>
    </w:p>
    <w:p>
      <w:pPr>
        <w:pStyle w:val="ListParagraph"/>
        <w:numPr>
          <w:ilvl w:val="0"/>
          <w:numId w:val="2"/>
        </w:numPr>
      </w:pPr>
      <w:r>
        <w:t xml:space="preserve">Light mode: Blue (#1c75bc)</w:t>
      </w:r>
    </w:p>
    <w:p>
      <w:pPr>
        <w:pStyle w:val="ListParagraph"/>
        <w:numPr>
          <w:ilvl w:val="0"/>
          <w:numId w:val="2"/>
        </w:numPr>
      </w:pPr>
      <w:r>
        <w:t xml:space="preserve">Dark mode: Light blue (#64B5F6)</w:t>
      </w:r>
    </w:p>
    <w:p>
      <w:pPr>
        <w:spacing w:before="240" w:after="120"/>
      </w:pPr>
      <w:r>
        <w:rPr>
          <w:b/>
          <w:bCs/>
        </w:rPr>
        <w:t xml:space="preserve">Backgrounds:</w:t>
      </w:r>
    </w:p>
    <w:p>
      <w:pPr>
        <w:pStyle w:val="ListParagraph"/>
        <w:numPr>
          <w:ilvl w:val="0"/>
          <w:numId w:val="2"/>
        </w:numPr>
      </w:pPr>
      <w:r>
        <w:t xml:space="preserve">Avoid pure black (#000000) in dark mode; use dark gray (#121212) for less eye strain</w:t>
      </w:r>
    </w:p>
    <w:p>
      <w:pPr>
        <w:pStyle w:val="ListParagraph"/>
        <w:numPr>
          <w:ilvl w:val="0"/>
          <w:numId w:val="2"/>
        </w:numPr>
      </w:pPr>
      <w:r>
        <w:t xml:space="preserve">Keep brand colors consistent where possible</w:t>
      </w:r>
    </w:p>
    <w:p>
      <w:pPr>
        <w:pStyle w:val="Heading3"/>
        <w:spacing w:before="360"/>
      </w:pPr>
      <w:r>
        <w:t xml:space="preserve">Testing Dark Mode</w:t>
      </w:r>
    </w:p>
    <w:p>
      <w:pPr>
        <w:spacing w:after="120"/>
      </w:pPr>
      <w:r>
        <w:t xml:space="preserve">Test your emails in:</w:t>
      </w:r>
    </w:p>
    <w:p>
      <w:pPr>
        <w:pStyle w:val="ListParagraph"/>
        <w:numPr>
          <w:ilvl w:val="0"/>
          <w:numId w:val="2"/>
        </w:numPr>
      </w:pPr>
      <w:r>
        <w:t xml:space="preserve">Apple Mail (iOS and macOS)</w:t>
      </w:r>
    </w:p>
    <w:p>
      <w:pPr>
        <w:pStyle w:val="ListParagraph"/>
        <w:numPr>
          <w:ilvl w:val="0"/>
          <w:numId w:val="2"/>
        </w:numPr>
      </w:pPr>
      <w:r>
        <w:t xml:space="preserve">Gmail app (iOS and Android)</w:t>
      </w:r>
    </w:p>
    <w:p>
      <w:pPr>
        <w:pStyle w:val="ListParagraph"/>
        <w:numPr>
          <w:ilvl w:val="0"/>
          <w:numId w:val="2"/>
        </w:numPr>
      </w:pPr>
      <w:r>
        <w:t xml:space="preserve">Outlook app (iOS and Android)</w:t>
      </w:r>
    </w:p>
    <w:p>
      <w:pPr>
        <w:spacing w:before="240" w:after="120"/>
      </w:pPr>
      <w:r>
        <w:t xml:space="preserve">Check that:</w:t>
      </w:r>
    </w:p>
    <w:p>
      <w:pPr>
        <w:pStyle w:val="ListParagraph"/>
        <w:numPr>
          <w:ilvl w:val="0"/>
          <w:numId w:val="2"/>
        </w:numPr>
      </w:pPr>
      <w:r>
        <w:t xml:space="preserve">Text is readable</w:t>
      </w:r>
    </w:p>
    <w:p>
      <w:pPr>
        <w:pStyle w:val="ListParagraph"/>
        <w:numPr>
          <w:ilvl w:val="0"/>
          <w:numId w:val="2"/>
        </w:numPr>
      </w:pPr>
      <w:r>
        <w:t xml:space="preserve">Images are visible</w:t>
      </w:r>
    </w:p>
    <w:p>
      <w:pPr>
        <w:pStyle w:val="ListParagraph"/>
        <w:numPr>
          <w:ilvl w:val="0"/>
          <w:numId w:val="2"/>
        </w:numPr>
      </w:pPr>
      <w:r>
        <w:t xml:space="preserve">Buttons/CTAs are clear</w:t>
      </w:r>
    </w:p>
    <w:p>
      <w:pPr>
        <w:pStyle w:val="ListParagraph"/>
        <w:numPr>
          <w:ilvl w:val="0"/>
          <w:numId w:val="2"/>
        </w:numPr>
      </w:pPr>
      <w:r>
        <w:t xml:space="preserve">Brand colors are preserved</w:t>
      </w:r>
    </w:p>
    <w:p>
      <w:pPr>
        <w:pStyle w:val="Heading2"/>
        <w:spacing w:before="480"/>
      </w:pPr>
      <w:r>
        <w:t xml:space="preserve">Email Client-Specific ARIA Support</w:t>
      </w:r>
    </w:p>
    <w:p>
      <w:pPr>
        <w:pStyle w:val="Heading3"/>
      </w:pPr>
      <w:r>
        <w:t xml:space="preserve">ARIA Support by Email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Client</w:t>
            </w:r>
          </w:p>
        </w:tc>
        <w:tc>
          <w:tcPr>
            <w:tcW w:type="dxa" w:w="2340"/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ARIA Support</w:t>
            </w:r>
          </w:p>
        </w:tc>
        <w:tc>
          <w:tcPr>
            <w:tcW w:type="dxa" w:w="4680"/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40"/>
          </w:tcPr>
          <w:p>
            <w:r>
              <w:t xml:space="preserve">Apple Mail</w:t>
            </w:r>
          </w:p>
        </w:tc>
        <w:tc>
          <w:tcPr>
            <w:tcW w:type="dxa" w:w="2340"/>
          </w:tcPr>
          <w:p>
            <w:r>
              <w:t xml:space="preserve">✅ Good</w:t>
            </w:r>
          </w:p>
        </w:tc>
        <w:tc>
          <w:tcPr>
            <w:tcW w:type="dxa" w:w="4680"/>
          </w:tcPr>
          <w:p>
            <w:r>
              <w:t xml:space="preserve">Full support for roles and labels</w:t>
            </w:r>
          </w:p>
        </w:tc>
      </w:tr>
      <w:tr>
        <w:tc>
          <w:tcPr>
            <w:tcW w:type="dxa" w:w="2340"/>
          </w:tcPr>
          <w:p>
            <w:r>
              <w:t xml:space="preserve">Gmail</w:t>
            </w:r>
          </w:p>
        </w:tc>
        <w:tc>
          <w:tcPr>
            <w:tcW w:type="dxa" w:w="2340"/>
          </w:tcPr>
          <w:p>
            <w:r>
              <w:t xml:space="preserve">⚠️ Partial</w:t>
            </w:r>
          </w:p>
        </w:tc>
        <w:tc>
          <w:tcPr>
            <w:tcW w:type="dxa" w:w="4680"/>
          </w:tcPr>
          <w:p>
            <w:r>
              <w:t xml:space="preserve">Strips some ARIA; test thoroughly</w:t>
            </w:r>
          </w:p>
        </w:tc>
      </w:tr>
      <w:tr>
        <w:tc>
          <w:tcPr>
            <w:tcW w:type="dxa" w:w="2340"/>
          </w:tcPr>
          <w:p>
            <w:r>
              <w:t xml:space="preserve">Outlook</w:t>
            </w:r>
          </w:p>
        </w:tc>
        <w:tc>
          <w:tcPr>
            <w:tcW w:type="dxa" w:w="2340"/>
          </w:tcPr>
          <w:p>
            <w:r>
              <w:t xml:space="preserve">⚠️ Limited</w:t>
            </w:r>
          </w:p>
        </w:tc>
        <w:tc>
          <w:tcPr>
            <w:tcW w:type="dxa" w:w="4680"/>
          </w:tcPr>
          <w:p>
            <w:r>
              <w:t xml:space="preserve">Desktop version has better support than web</w:t>
            </w:r>
          </w:p>
        </w:tc>
      </w:tr>
      <w:tr>
        <w:tc>
          <w:tcPr>
            <w:tcW w:type="dxa" w:w="2340"/>
          </w:tcPr>
          <w:p>
            <w:r>
              <w:t xml:space="preserve">Yahoo Mail</w:t>
            </w:r>
          </w:p>
        </w:tc>
        <w:tc>
          <w:tcPr>
            <w:tcW w:type="dxa" w:w="2340"/>
          </w:tcPr>
          <w:p>
            <w:r>
              <w:t xml:space="preserve">⚠️ Partial</w:t>
            </w:r>
          </w:p>
        </w:tc>
        <w:tc>
          <w:tcPr>
            <w:tcW w:type="dxa" w:w="4680"/>
          </w:tcPr>
          <w:p>
            <w:r>
              <w:t xml:space="preserve">Basic role support</w:t>
            </w:r>
          </w:p>
        </w:tc>
      </w:tr>
      <w:tr>
        <w:tc>
          <w:tcPr>
            <w:tcW w:type="dxa" w:w="2340"/>
          </w:tcPr>
          <w:p>
            <w:r>
              <w:t xml:space="preserve">Thunderbird</w:t>
            </w:r>
          </w:p>
        </w:tc>
        <w:tc>
          <w:tcPr>
            <w:tcW w:type="dxa" w:w="2340"/>
          </w:tcPr>
          <w:p>
            <w:r>
              <w:t xml:space="preserve">✅ Good</w:t>
            </w:r>
          </w:p>
        </w:tc>
        <w:tc>
          <w:tcPr>
            <w:tcW w:type="dxa" w:w="4680"/>
          </w:tcPr>
          <w:p>
            <w:r>
              <w:t xml:space="preserve">Full support</w:t>
            </w:r>
          </w:p>
        </w:tc>
      </w:tr>
    </w:tbl>
    <w:p>
      <w:pPr>
        <w:spacing w:before="240" w:after="360"/>
      </w:pPr>
      <w:r>
        <w:rPr>
          <w:b/>
          <w:bCs/>
        </w:rPr>
        <w:t xml:space="preserve">Recommendation: </w:t>
      </w:r>
      <w:r>
        <w:t xml:space="preserve">Always add ARIA even if support is partial. It provides progressive enhancement and doesn't break email rendering.</w:t>
      </w:r>
    </w:p>
    <w:p>
      <w:pPr>
        <w:pStyle w:val="Heading2"/>
        <w:spacing w:before="480"/>
      </w:pPr>
      <w:r>
        <w:t xml:space="preserve">What NOT to Use</w:t>
      </w:r>
    </w:p>
    <w:p>
      <w:pPr>
        <w:pStyle w:val="Heading3"/>
      </w:pPr>
      <w:r>
        <w:t xml:space="preserve">Avoid aria-labelledby</w:t>
      </w:r>
    </w:p>
    <w:p>
      <w:pPr>
        <w:spacing w:after="180"/>
      </w:pPr>
      <w:r>
        <w:rPr>
          <w:b/>
          <w:bCs/>
        </w:rPr>
        <w:t xml:space="preserve">Don't use: </w:t>
      </w:r>
      <w:r>
        <w:t xml:space="preserve">aria-labelledby</w:t>
      </w:r>
    </w:p>
    <w:p>
      <w:pPr>
        <w:spacing w:after="180"/>
      </w:pPr>
      <w:r>
        <w:rPr>
          <w:b/>
          <w:bCs/>
        </w:rPr>
        <w:t xml:space="preserve">Why: </w:t>
      </w:r>
      <w:r>
        <w:t xml:space="preserve">It creates relationships between elements that can break if IDs aren't unique or if content is dynamically generated. It adds unnecessary complexity to email HTML.</w:t>
      </w:r>
    </w:p>
    <w:p>
      <w:pPr>
        <w:spacing w:after="360"/>
      </w:pPr>
      <w:r>
        <w:rPr>
          <w:b/>
          <w:bCs/>
        </w:rPr>
        <w:t xml:space="preserve">Instead: </w:t>
      </w:r>
      <w:r>
        <w:t xml:space="preserve">Use descriptive text content directly in elements.</w:t>
      </w:r>
    </w:p>
    <w:p>
      <w:pPr>
        <w:pStyle w:val="Heading3"/>
      </w:pPr>
      <w:r>
        <w:t xml:space="preserve">Avoid Conflicting Attributes</w:t>
      </w:r>
    </w:p>
    <w:p>
      <w:pPr>
        <w:spacing w:after="180"/>
      </w:pPr>
      <w:r>
        <w:t xml:space="preserve">Never mix alt text with aria-label on the same image. Screen readers will read both or choose one unpredictably.</w:t>
      </w:r>
    </w:p>
    <w:p>
      <w:pPr>
        <w:spacing w:after="120"/>
      </w:pPr>
      <w:r>
        <w:rPr>
          <w:b/>
          <w:bCs/>
        </w:rPr>
        <w:t xml:space="preserve">Bad: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&lt;img src="cat.jpg" alt="cute cat napping" aria-label="sleepy dog" width="300" height="200"/&gt;</w:t>
      </w:r>
    </w:p>
    <w:p>
      <w:pPr>
        <w:spacing w:before="240" w:after="120"/>
      </w:pPr>
      <w:r>
        <w:rPr>
          <w:b/>
          <w:bCs/>
        </w:rPr>
        <w:t xml:space="preserve">Good (choose one):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&lt;!-- Option 1: Standard image --&gt;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&lt;img src="cat.jpg" alt="cute cat napping" width="300" height="200"/&gt;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&lt;!-- Option 2: Background image container --&gt;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&lt;td role="img" aria-label="cute cat napping"</w:t>
      </w:r>
    </w:p>
    <w:p>
      <w:pPr>
        <w:shd w:fill="F5F5F5" w:val="clear"/>
        <w:spacing w:before="0" w:after="0" w:line="2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style="background-image: url('cat.jpg'); width: 300px; height: 200px;"&gt;&lt;/td&gt;</w:t>
      </w:r>
    </w:p>
    <w:p>
      <w:pPr>
        <w:pStyle w:val="Heading2"/>
        <w:spacing w:before="480"/>
      </w:pPr>
      <w:r>
        <w:t xml:space="preserve">Additional Resources</w:t>
      </w:r>
    </w:p>
    <w:p>
      <w:pPr>
        <w:spacing w:after="120"/>
      </w:pPr>
      <w:r>
        <w:rPr>
          <w:b/>
          <w:bCs/>
        </w:rPr>
        <w:t xml:space="preserve">Section 508 Guidelines</w:t>
      </w:r>
    </w:p>
    <w:p>
      <w:pPr>
        <w:spacing w:after="240"/>
      </w:pPr>
      <w:hyperlink w:history="1" r:id="rId3qh6lsvr9xpeibdo-168t">
        <w:r>
          <w:rPr>
            <w:rStyle w:val="Hyperlink"/>
          </w:rPr>
          <w:t xml:space="preserve">https://www.section508.gov/create/email-messages/</w:t>
        </w:r>
      </w:hyperlink>
    </w:p>
    <w:p>
      <w:pPr>
        <w:spacing w:after="120"/>
      </w:pPr>
      <w:r>
        <w:rPr>
          <w:b/>
          <w:bCs/>
        </w:rPr>
        <w:t xml:space="preserve">ARIA in Email</w:t>
      </w:r>
    </w:p>
    <w:p>
      <w:pPr>
        <w:spacing w:after="240"/>
      </w:pPr>
      <w:hyperlink w:history="1" r:id="rId2mrgdo4atim7wvyxhyqf8">
        <w:r>
          <w:rPr>
            <w:rStyle w:val="Hyperlink"/>
          </w:rPr>
          <w:t xml:space="preserve">https://www.goodemailcode.com/email-accessibility/aria-landmarks-in-html-email.html</w:t>
        </w:r>
      </w:hyperlink>
    </w:p>
    <w:p>
      <w:pPr>
        <w:spacing w:after="120"/>
      </w:pPr>
      <w:r>
        <w:rPr>
          <w:b/>
          <w:bCs/>
        </w:rPr>
        <w:t xml:space="preserve">ARIA Roles Reference</w:t>
      </w:r>
    </w:p>
    <w:p>
      <w:pPr>
        <w:spacing w:after="240"/>
      </w:pPr>
      <w:hyperlink w:history="1" r:id="rIdzmn96aq371uqz4yymdiji">
        <w:r>
          <w:rPr>
            <w:rStyle w:val="Hyperlink"/>
          </w:rPr>
          <w:t xml:space="preserve">https://developer.mozilla.org/en-US/docs/Web/Accessibility/ARIA/Roles</w:t>
        </w:r>
      </w:hyperlink>
    </w:p>
    <w:p>
      <w:pPr>
        <w:spacing w:after="120"/>
      </w:pPr>
      <w:r>
        <w:rPr>
          <w:b/>
          <w:bCs/>
        </w:rPr>
        <w:t xml:space="preserve">ARIA Authoring Practices</w:t>
      </w:r>
    </w:p>
    <w:p>
      <w:pPr>
        <w:spacing w:after="240"/>
      </w:pPr>
      <w:hyperlink w:history="1" r:id="rIdzyu7qz64v-l0u93bi02pe">
        <w:r>
          <w:rPr>
            <w:rStyle w:val="Hyperlink"/>
          </w:rPr>
          <w:t xml:space="preserve">https://www.w3.org/WAI/ARIA/apg/practices/read-me-first/</w:t>
        </w:r>
      </w:hyperlink>
    </w:p>
    <w:p>
      <w:pPr>
        <w:spacing w:after="120"/>
      </w:pPr>
      <w:r>
        <w:rPr>
          <w:b/>
          <w:bCs/>
        </w:rPr>
        <w:t xml:space="preserve">Dark Mode for Email</w:t>
      </w:r>
    </w:p>
    <w:p>
      <w:hyperlink w:history="1" r:id="rId9ncncbufptsizqaknfibq">
        <w:r>
          <w:rPr>
            <w:rStyle w:val="Hyperlink"/>
          </w:rPr>
          <w:t xml:space="preserve">https://www.litmus.com/blog/the-ultimate-guide-to-dark-mode-for-email-marketers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80" w:after="120"/>
      <w:outlineLvl w:val="3"/>
    </w:pPr>
    <w:rPr>
      <w:rFonts w:ascii="Arial" w:cs="Arial" w:eastAsia="Arial" w:hAnsi="Arial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3qh6lsvr9xpeibdo-168t" Type="http://schemas.openxmlformats.org/officeDocument/2006/relationships/hyperlink" Target="https://www.section508.gov/create/email-messages/" TargetMode="External"/><Relationship Id="rId2mrgdo4atim7wvyxhyqf8" Type="http://schemas.openxmlformats.org/officeDocument/2006/relationships/hyperlink" Target="https://www.goodemailcode.com/email-accessibility/aria-landmarks-in-html-email.html" TargetMode="External"/><Relationship Id="rIdzmn96aq371uqz4yymdiji" Type="http://schemas.openxmlformats.org/officeDocument/2006/relationships/hyperlink" Target="https://developer.mozilla.org/en-US/docs/Web/Accessibility/ARIA/Roles" TargetMode="External"/><Relationship Id="rIdzyu7qz64v-l0u93bi02pe" Type="http://schemas.openxmlformats.org/officeDocument/2006/relationships/hyperlink" Target="https://www.w3.org/WAI/ARIA/apg/practices/read-me-first/" TargetMode="External"/><Relationship Id="rId9ncncbufptsizqaknfibq" Type="http://schemas.openxmlformats.org/officeDocument/2006/relationships/hyperlink" Target="https://www.litmus.com/blog/the-ultimate-guide-to-dark-mode-for-email-marketers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2026-02-11T21:21:23.420Z</dcterms:created>
  <dcterms:modified xsi:type="dcterms:W3CDTF">2026-02-11T21:21:23.420Z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