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Cliffwater Corporate Lending Fund (TRUE interval fund (Rule 23c-3), private credit, CIK 1735964)</w:t>
        <w:br/>
      </w:r>
      <w:r>
        <w:t>Date: 2026-08-09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NAV/share FY21-FY26: 10.60 / 10.79 / 10.67 / 10.55 / 10.83 / 10.52. Net assets $4.73B - $6.74B - $11.08B - $17.87B - $28.09B - $31.26B (explosive growth). Daily NAV series via ticker CCLFX (see data/series/).</w:t>
              <w:br/>
              <w:t>1.2: AATR as of 3/31/2026: 1yr 7.63% / 3yr 10.89% / 5yr 9.79% / SI 9.34% (inception 6/5/2019) vs Morningstar LSTA US Leveraged Loan Index 4.81 / 8.00 / 5.93 / 5.51. FY total returns FY26-FY21: 7.61 / 11.58 / 13.34 / 7.06 / 1.</w:t>
              <w:br/>
              <w:t xml:space="preserve">1.3: Gross and net are IDENTICAL in recent years - no active waiver. FY2026 Class I (Consolidated Financial Highlights): ratio of expenses to average net assets EXCLUDING interest expense, before fees waived and deferred tax </w:t>
              <w:br/>
              <w:t>1.4: Class I per-share distributions (Consolidated Financial Highlights): FY ended 3/31/2026 total $(1.09), all from net investment income (return of capital — ; net realized gain — ); FY2025 $(0.90) all NII; FY2024 $(1.45) =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1.00% annualized on daily NET assets, paid monthly.</w:t>
              <w:br/>
              <w:t>2.2: No incentive fee identified in fee note (management fee only). Confirm in prospectus.</w:t>
              <w:br/>
              <w:t>2.3: Expense ratios (before waivers, FY26): 1.36% excluding interest expense; 3.31% including interest expense. History (excl-interest): FY25 1.32 / FY24 1.20 / FY23 1.23 / FY22 1.28 / FY21 1.32. The interest-expense gap IS t</w:t>
              <w:br/>
              <w:t>2.4: Fee table ('FUND FEES AND EXPENSES', Class I Shares, as % of net assets): Management Fees 1.00%; Fees and Interest Payments on Borrowed Funds 1.75%; Acquired Fund Fees and Expenses 0.25%; Other Expenses 0.27%; Total Annu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Rule 23c-3 periodic repurchase offer: up to five percent (5%) of outstanding shares, quarterly, at NAV (NYSE close on Repurchase Pricing Date). 8-quarter N-23C3A series on disk = cell 3.3 structured history.</w:t>
              <w:br/>
              <w:t>3.2: Current cycle (N-23C3A filed 2026-05-08): offer period 5/8/2026-5/29/2026; Repurchase Request Deadline 4:00 p.m. ET on 5/29/2026; Repurchase Pricing Date the SAME day, 5/29/2026 (NAV as of NYSE close); payment within sev</w:t>
              <w:br/>
              <w:t>3.4: As of March 31, 2026 (N-CSR): fair value hierarchy table — Level 3 investments $27,306,832,701 of $39,962,131,663 total investments at fair value, plus $11,508,152,570 measured at NAV as practical expedient; Level 1 $547</w:t>
              <w:br/>
              <w:t>3.6: Senior secured notes + revolving credit facility; $39.96B of holdings pledged as collateral at 3/31/2026 (vs $31.26B net assets -&gt; roughly $8-9B leverage implied). Detail in Senior Notes note.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— 'The Fund calculates its NAV as of the close of business on each Business Day and at such other times as the Board may determine' ('CALCULATION OF NET ASSET VALUE – GENERAL'); the Administrator cal</w:t>
              <w:br/>
              <w:t>4.2: ASC 820 hierarchy at 3/31/2026 (Note 5), investments at fair value by asset type: Senior Secured Loans L1 $0 / L2 $565,960,752 / L3 $26,075,702,710 = $26,641,663,462; Private Investment Vehicles L3 $575,518,297 + NAV pra</w:t>
              <w:br/>
              <w:t>4.3: No third-party valuation firm is NAMED in any on-disk filing. The N-CSR (Note 2) says corporate loans are valued using unobservable pricing inputs from the Fund's investment partners 'or other third -party pricing servic</w:t>
              <w:br/>
              <w:t>4.4: Level 3 valuation techniques and unobservable inputs at 3/31/2026 (Note 5 table; range then weighted average): SENIOR SECURED LOANS - $11,966,382,918 income approach, Discount Rate/Discount Margin 2.28%-26.46% (8.18%), w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CORRECTED per crosscheck: the fund EXPRESSLY DECLARES NO designated performance benchmark. Comparator indices in the shareholder report (Morningstar LSTA US Leveraged Loan; Bloomberg US Aggregate) are labeled illustrativ</w:t>
              <w:br/>
              <w:t>5.3: Alt asset-class index candidates evaluated by the engine (incl. paid/manual ones deliberately kept in the menu and rejected with reasons): Senior loan investable proxy (BKLN, for Morningstar LSTA class) (9/12) | PME / Di</w:t>
              <w:br/>
              <w:t>5.4: Peer cohort (lane C) as constructed by the engine: no same-strategy interval-credit peer in the six-product universe (peer lane scored 0 investability/data). Universe = this roster; a market-wide peer database is license</w:t>
              <w:br/>
              <w:t>5.5: PME inputs (computed, primary comparison): window 2019-06-05 to 2026-07-17; fund growth 1.7165x vs index 1.3697x (daily-anchored); flows = [-1 at window start, terminal growth at end]; index = BKLN adj close. KS-PME 1.25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Legal form: Delaware statutory trust, registered closed-end management investment company operating as an interval fund; diversified; governed by Agreement and Declaration of Trust as most recently amended and restated S</w:t>
              <w:br/>
              <w:t>6.2: Objectives: primary — consistent current income; secondary — capital preservation. 80% policy: under normal market conditions at least 80% of assets (net assets plus borrowings for investment purposes) in loans to compan</w:t>
              <w:br/>
              <w:t>6.3: Conflicts: dedicated 'CONFLICTS OF INTEREST' section — Investment Manager and affiliates advise other vehicles with similar strategies that may compete for opportunities and may co-invest; shareholders deemed to acknowle</w:t>
              <w:br/>
              <w:t>6.4: PARTIAL: tax form NOT explicitly named in on-disk filings - searched 486BPOS 2025-07-29, 424B3 2025-08-12 and N-CSR 2026-06-08 for '1099' / 'K-1' / 'Schedule K': zero hits. What IS printed: fund 'has elected to be treate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  <w:tr>
        <w:tc>
          <w:tcPr>
            <w:tcW w:type="dxa" w:w="3456"/>
          </w:tcPr>
          <w:p>
            <w:r>
              <w:t>Peer cohort: same-strategy interval credit funds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23, fetched: 2, n/a: 12, partial: 6.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