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Designated Investment Alternative Evaluation: Decision Memo</w:t>
      </w:r>
    </w:p>
    <w:p>
      <w:r>
        <w:rPr>
          <w:b/>
        </w:rPr>
        <w:t>Plan: US media/technology company 401(k) plan (~$570M, New York)</w:t>
        <w:br/>
      </w:r>
      <w:r>
        <w:t>Product: Blackstone Real Estate Income Trust Inc (non-traded REIT ('34 Act reporting), CIK 1662972)</w:t>
        <w:br/>
      </w:r>
      <w:r>
        <w:t>Date: 2026-09-04    Status: DRAFT (demo build). Cells marked extracted-unverified pend independent verification.</w:t>
      </w:r>
    </w:p>
    <w:p>
      <w:pPr>
        <w:pStyle w:val="Heading1"/>
      </w:pPr>
      <w:r>
        <w:t>Regulatory basis</w:t>
      </w:r>
    </w:p>
    <w:p>
      <w:r>
        <w:t>DOL proposed rule, Fiduciary Duties in Selecting Designated Investment Alternatives, 91 FR 16088 (Mar. 31, 2026), RIN 1210-AC38</w:t>
      </w:r>
    </w:p>
    <w:p>
      <w:r>
        <w:t>This memo documents an evaluation of the product below as a potential designated investment alternative (DIA) for the plan, structured on the six factors of the proposed rule: performance, fees and expenses, liquidity, valuation, performance benchmarks, and complexity. The proposed safe harbor attaches to a documented, objective, thorough and analytical process. This memo and its underlying evidence files constitute that record.</w:t>
      </w:r>
    </w:p>
    <w:p>
      <w:r>
        <w:t>On benchmarks, the proposal requires comparison against a meaningful benchmark and acknowledges that no single benchmark is meaningful for every DIA. Where none exists, the history of a similar type of investment may serve. The benchmark section below therefore documents the selection AND the rejections: every candidate considered, its score, and the true reason it was or was not chosen. Note: the pleading standard for benchmark-based claims is before the Supreme Court in Anderson v. Intel (argument expected October Term 2026). This memo's approach is designed to be defensible under either outcome.</w:t>
      </w:r>
    </w:p>
    <w:p>
      <w:pPr>
        <w:pStyle w:val="Heading1"/>
      </w:pPr>
      <w:r>
        <w:t>Six-factor findings (summary)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016"/>
          </w:tcPr>
          <w:p>
            <w:r>
              <w:t>Factor</w:t>
            </w:r>
          </w:p>
        </w:tc>
        <w:tc>
          <w:tcPr>
            <w:tcW w:type="dxa" w:w="7344"/>
          </w:tcPr>
          <w:p>
            <w:r>
              <w:t>Key findings (cell: value)</w:t>
            </w:r>
          </w:p>
        </w:tc>
      </w:tr>
      <w:tr>
        <w:tc>
          <w:tcPr>
            <w:tcW w:type="dxa" w:w="2016"/>
          </w:tcPr>
          <w:p>
            <w:r>
              <w:t>1. Performance</w:t>
            </w:r>
          </w:p>
        </w:tc>
        <w:tc>
          <w:tcPr>
            <w:tcW w:type="dxa" w:w="7344"/>
          </w:tcPr>
          <w:p>
            <w:r>
              <w:t>1.1: FULL printed monthly NAV/share series, Class I, Jan 2023 - Dec 2025 (36 points) + Jun 2026 from the 10-Q - structured at data/series_monthly/breit_nav.csv (adversarially verified vs raw HTML; Jan-May 2026 not printed any</w:t>
              <w:br/>
              <w:t>1.2: FY2025 10-K '2025 Highlights' table (classes in order I | S | S-2 | D | D-2 | T | T-2): Year-to-Date (2025) Total Return, without upfront selling commissions: 8.1% | 7.2% | 3.2% | 7.8% | 3.1% | 7.2% | 3.4%; assuming maxi</w:t>
              <w:br/>
              <w:t>1.4: EXTENSION (tax character + per-class detail, FY2025 10-K): Distributions for the year ended December 31, 2025 were characterized for federal income tax purposes as 100% return of capital (0% ordinary income, 0% capital g</w:t>
              <w:br/>
              <w:t>1.5: BREIT owns real estate directly (wholly owned and via JVs) - there are no underlying GP funds, so no underlying fund IRR table exists in the filings. Closest printed sleeve-level performance (FY2025 10-K, Same Property N</w:t>
            </w:r>
          </w:p>
        </w:tc>
      </w:tr>
      <w:tr>
        <w:tc>
          <w:tcPr>
            <w:tcW w:type="dxa" w:w="2016"/>
          </w:tcPr>
          <w:p>
            <w:r>
              <w:t>2. Fees</w:t>
            </w:r>
          </w:p>
        </w:tc>
        <w:tc>
          <w:tcPr>
            <w:tcW w:type="dxa" w:w="7344"/>
          </w:tcPr>
          <w:p>
            <w:r>
              <w:t>2.1: 1.25% of NAV per annum, payable monthly (can be paid in cash or shares). Side fee: 1.0% of gross rents on DST program assets.</w:t>
              <w:br/>
              <w:t>2.2: Performance participation w/ hurdle + high-water mechanics - AND a live miss: FY2024 total return did not exceed the hurdle, producing a $105.0M Quarterly Shortfall; from 1/1/2025 the 2024 Shortfall Obligation accrues 5%</w:t>
              <w:br/>
              <w:t>2.4: Not applicable — none exists: BREIT is a 10-K filer (non-'40-Act REIT) with no 1940-Act-style fee table; no 'Acquired Fund Fees and Expenses' line exists and none can (AFFE is a 1940-Act registered-fund disclosure). Sear</w:t>
              <w:br/>
              <w:t>2.6: As of December 31, 2025 (Item 5 table): selling commissions and dealer manager fees (% of transaction price) up to 3.5% for Class S, S-2, T, T-2; up to 1.5% for Class D, D-2. Stockholder servicing fee (% of NAV): 0.85% f</w:t>
            </w:r>
          </w:p>
        </w:tc>
      </w:tr>
      <w:tr>
        <w:tc>
          <w:tcPr>
            <w:tcW w:type="dxa" w:w="2016"/>
          </w:tcPr>
          <w:p>
            <w:r>
              <w:t>3. Liquidity</w:t>
            </w:r>
          </w:p>
        </w:tc>
        <w:tc>
          <w:tcPr>
            <w:tcW w:type="dxa" w:w="7344"/>
          </w:tcPr>
          <w:p>
            <w:r>
              <w:t>3.1: Repurchase caps: 2% of aggregate NAV per MONTH, 5% per QUARTER (measured on prior-period NAV; Early Repurchase Deduction excluded). Board may modify/suspend if requests burden liquidity.</w:t>
              <w:br/>
              <w:t>3.2: Mechanics as printed in FY2025 10-K (Item 5 - Share Repurchases; repeated in Note 14): CADENCE/PRICING DATE - repurchases only as of the opening of the last calendar day of each month (the 'Repurchase Date'); price = tra</w:t>
              <w:br/>
              <w:t>3.3: Quantified from FY2025 10-K: common stock repurchased FY2023 $12.42B -&gt; FY2024 $9.31B -&gt; FY2025 $6.13B (cash-flow statement $000s: 12,419,310 / 9,307,418 / 6,132,773) - a declining exit wave. FY2025 fulfilled $6.2B = ALL</w:t>
              <w:br/>
              <w:t>3.4: Liquidity of $6.7 billion as of February 26, 2026: $5.6 billion available under undrawn revolving credit facilities plus $1.1 billion unrestricted cash and cash equivalents; also $0.2 billion expected disposition proceed</w:t>
            </w:r>
          </w:p>
        </w:tc>
      </w:tr>
      <w:tr>
        <w:tc>
          <w:tcPr>
            <w:tcW w:type="dxa" w:w="2016"/>
          </w:tcPr>
          <w:p>
            <w:r>
              <w:t>4. Valuation</w:t>
            </w:r>
          </w:p>
        </w:tc>
        <w:tc>
          <w:tcPr>
            <w:tcW w:type="dxa" w:w="7344"/>
          </w:tcPr>
          <w:p>
            <w:r>
              <w:t>4.1: NAV frequency: monthly — 'We calculate and publish NAV monthly' solely for establishing monthly sale/repurchase price. Who values: the Adviser (BX REIT Advisors L.L.C.) calculates fair value of real estate properties mon</w:t>
              <w:br/>
              <w:t>4.2: Recurring fair-value table ($K). December 31, 2025 - ASSETS: Investments in real estate debt L1 $0 / L2 $3,282,457 / L3 $754,693 / total $4,037,150; Real estate loans held by consolidated securitization vehicles L2 $6,97</w:t>
              <w:br/>
              <w:t>4.3: PARTIAL: the 10-K repeatedly references 'an independent valuation advisor' that reviews monthly property valuations and monthly/quarterly real estate debt valuations for reasonableness (and reviews Adviser valuation assu</w:t>
              <w:br/>
              <w:t>4.4: COMPLETE weighted-average DCF assumptions by property type (12/31/2025): Rental Housing 7.2% discount / 5.4% exit cap; Industrial 7.5% / 5.5%; Net Lease 6.6% / 5.6%; Hospitality 10.8% / 9.0%; Data Centers 8.3% / 6.1%; Se</w:t>
            </w:r>
          </w:p>
        </w:tc>
      </w:tr>
      <w:tr>
        <w:tc>
          <w:tcPr>
            <w:tcW w:type="dxa" w:w="2016"/>
          </w:tcPr>
          <w:p>
            <w:r>
              <w:t>5. Performance Benchmarks</w:t>
            </w:r>
          </w:p>
        </w:tc>
        <w:tc>
          <w:tcPr>
            <w:tcW w:type="dxa" w:w="7344"/>
          </w:tcPr>
          <w:p>
            <w:r>
              <w:t>5.1: ABSENCE DOCUMENTED: BREIT declares NO benchmark index anywhere in the FY2025 10-K. Zero hits for MSCI, ODCE, or FTSE Nareit; NCREIF appears only as a geography taxonomy ('Region Concentration represents regions as define</w:t>
              <w:br/>
              <w:t xml:space="preserve">5.3: Alt-index candidates evaluated: NCREIF ODCE (private core RE - strategy-exact, SECONDARY at 8/12; index data is member/subscription distribution, series not held); Cambridge Associates RE (7/12, outranked; licensed data </w:t>
              <w:br/>
              <w:t>5.4: Peer cohort nontraded_reit (n=3: breit, sreit, jll_ipt). Equal-weight annual composite on printed fiscal-year returns for years with 2 or more reporting members: 2025 (n=2). Wrapper types in the cohort: nontraded_reit. C</w:t>
              <w:br/>
              <w:t>5.5: PME inputs (computed): window 2022-12-31 to 2025-12-31; flows [-1 at start, 1.0971 at end] built from PRINTED Class I calendar-year total returns (-0.5%, 2.0%, 8.1% - cells 1.2, three 10-Ks cited there); index VNQ adj-cl</w:t>
            </w:r>
          </w:p>
        </w:tc>
      </w:tr>
      <w:tr>
        <w:tc>
          <w:tcPr>
            <w:tcW w:type="dxa" w:w="2016"/>
          </w:tcPr>
          <w:p>
            <w:r>
              <w:t>6. Complexity</w:t>
            </w:r>
          </w:p>
        </w:tc>
        <w:tc>
          <w:tcPr>
            <w:tcW w:type="dxa" w:w="7344"/>
          </w:tcPr>
          <w:p>
            <w:r>
              <w:t xml:space="preserve">6.1: Blackstone Real Estate Income Trust, Inc.: Maryland corporation incorporated November 16, 2015; non-listed, perpetual-life REIT (REIT election commencing taxable year ended December 31, 2017). UPREIT structure: BREIT is </w:t>
              <w:br/>
              <w:t>6.2: Strategy: invests primarily in stabilized, income-generating commercial real estate across asset classes in the U.S. (and to a lesser extent outside the U.S.), plus real estate debt to a lesser extent. Nine reportable se</w:t>
              <w:br/>
              <w:t>6.3: Note 10 'Related Party and Other Transactions' (FY2025): Due to affiliates $791,741K at Dec 31, 2025 (accrued stockholder servicing fee $724,771K; accrued management fee $56,818K; other $10,152K). Management fee 1.25% of</w:t>
              <w:br/>
              <w:t>6.4: PARTIAL: investor tax form NOT named in on-disk filings - searched 10-K 2026-02-27 and 10-Q 2026-08-07 for '1099'/'K-1'/'Schedule K': only XBRL context-id artifacts, no Form 1099 text. What IS printed: REIT election effe</w:t>
            </w:r>
          </w:p>
        </w:tc>
      </w:tr>
    </w:tbl>
    <w:p>
      <w:pPr>
        <w:pStyle w:val="Heading1"/>
      </w:pPr>
      <w:r>
        <w:t>Benchmark selection and justification</w:t>
      </w:r>
    </w:p>
    <w:p>
      <w:pPr>
        <w:pStyle w:val="Heading2"/>
      </w:pPr>
      <w:r>
        <w:t>Primary: Listed REIT investable proxy (VNQ) (score 9/12)</w:t>
      </w:r>
    </w:p>
    <w:p>
      <w:r>
        <w:t>Window 2022-12-31 to 2025-12-31: fund 3.14%/yr vs benchmark 6.57%/yr, KS-PME 0.9064, Direct Alpha -3.22%/yr. Disclosure: PME and alpha computed on appraisal-lagged NAVs are window-sensitive and can be smoothing-flattered. Conclusions should be read with the methodology's window-sensitivity analysis.</w:t>
      </w:r>
    </w:p>
    <w:p>
      <w:r>
        <w:t>Two-point comparison: one contribution at the window start and one valuation at the end. Direct Alpha is the annualized form of the same two flows.</w:t>
      </w:r>
    </w:p>
    <w:p>
      <w:pPr>
        <w:pStyle w:val="ListBullet"/>
      </w:pPr>
      <w:r>
        <w:t>strategy_match 2/3: the public-market version of the asset class (listed reits for core plus nontraded re)</w:t>
      </w:r>
    </w:p>
    <w:p>
      <w:pPr>
        <w:pStyle w:val="ListBullet"/>
      </w:pPr>
      <w:r>
        <w:t>risk_liquidity_match 1/3: daily-liquid market proxy vs a semi-liquid NAV fund, vol and liquidity regimes differ</w:t>
      </w:r>
    </w:p>
    <w:p>
      <w:pPr>
        <w:pStyle w:val="ListBullet"/>
      </w:pPr>
      <w:r>
        <w:t>investability 2/2: computable on held data (daily series)</w:t>
      </w:r>
    </w:p>
    <w:p>
      <w:pPr>
        <w:pStyle w:val="ListBullet"/>
      </w:pPr>
      <w:r>
        <w:t>data_quality 2/2: daily series held</w:t>
      </w:r>
    </w:p>
    <w:p>
      <w:pPr>
        <w:pStyle w:val="ListBullet"/>
      </w:pPr>
      <w:r>
        <w:t>provider_independence 2/2: provider unaffiliated with the fund (Vanguard / MSCI US REIT)</w:t>
      </w:r>
    </w:p>
    <w:p>
      <w:pPr>
        <w:pStyle w:val="Heading2"/>
      </w:pPr>
      <w:r>
        <w:t>Secondary: NCREIF Fund Index - ODCE (private core RE) (score 7/12)</w:t>
      </w:r>
    </w:p>
    <w:p>
      <w:pPr>
        <w:pStyle w:val="ListBullet"/>
      </w:pPr>
      <w:r>
        <w:t>strategy_match 3/3: a private real estate index for a core plus nontraded re fund</w:t>
      </w:r>
    </w:p>
    <w:p>
      <w:pPr>
        <w:pStyle w:val="ListBullet"/>
      </w:pPr>
      <w:r>
        <w:t>risk_liquidity_match 2/3: NAV-class series, quarterly observations vs the fund's annual return data and an index, not a fund set, so leverage regime is not comparable</w:t>
      </w:r>
    </w:p>
    <w:p>
      <w:pPr>
        <w:pStyle w:val="ListBullet"/>
      </w:pPr>
      <w:r>
        <w:t>investability 0/2: index cited, series not held, not computable</w:t>
      </w:r>
    </w:p>
    <w:p>
      <w:pPr>
        <w:pStyle w:val="ListBullet"/>
      </w:pPr>
      <w:r>
        <w:t>data_quality 0/2: cited, not computed</w:t>
      </w:r>
    </w:p>
    <w:p>
      <w:pPr>
        <w:pStyle w:val="ListBullet"/>
      </w:pPr>
      <w:r>
        <w:t>provider_independence 2/2: provider unaffiliated with the fund (NCREIF)</w:t>
      </w:r>
    </w:p>
    <w:p>
      <w:pPr>
        <w:pStyle w:val="Heading2"/>
      </w:pPr>
      <w:r>
        <w:t>Rejection log (candidates considered and not selected)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456"/>
          </w:tcPr>
          <w:p>
            <w:r>
              <w:t>Candidate</w:t>
            </w:r>
          </w:p>
        </w:tc>
        <w:tc>
          <w:tcPr>
            <w:tcW w:type="dxa" w:w="1152"/>
          </w:tcPr>
          <w:p>
            <w:r>
              <w:t>Score</w:t>
            </w:r>
          </w:p>
        </w:tc>
        <w:tc>
          <w:tcPr>
            <w:tcW w:type="dxa" w:w="4752"/>
          </w:tcPr>
          <w:p>
            <w:r>
              <w:t>Reason</w:t>
            </w:r>
          </w:p>
        </w:tc>
      </w:tr>
      <w:tr>
        <w:tc>
          <w:tcPr>
            <w:tcW w:type="dxa" w:w="3456"/>
          </w:tcPr>
          <w:p>
            <w:r>
              <w:t>Cambridge Associates Real Estate benchmark</w:t>
            </w:r>
          </w:p>
        </w:tc>
        <w:tc>
          <w:tcPr>
            <w:tcW w:type="dxa" w:w="1152"/>
          </w:tcPr>
          <w:p>
            <w:r>
              <w:t>7/12</w:t>
            </w:r>
          </w:p>
        </w:tc>
        <w:tc>
          <w:tcPr>
            <w:tcW w:type="dxa" w:w="4752"/>
          </w:tcPr>
          <w:p>
            <w:r>
              <w:t>outranked: score 7/12 vs primary 9/12 and secondary 7/12 (only two slots). Retained in log as viable alternate</w:t>
            </w:r>
          </w:p>
        </w:tc>
      </w:tr>
      <w:tr>
        <w:tc>
          <w:tcPr>
            <w:tcW w:type="dxa" w:w="3456"/>
          </w:tcPr>
          <w:p>
            <w:r>
              <w:t>Peer cohort composite: nontraded_reit without breit (jll_ipt, sreit)</w:t>
            </w:r>
          </w:p>
        </w:tc>
        <w:tc>
          <w:tcPr>
            <w:tcW w:type="dxa" w:w="1152"/>
          </w:tcPr>
          <w:p>
            <w:r>
              <w:t>4/12</w:t>
            </w:r>
          </w:p>
        </w:tc>
        <w:tc>
          <w:tcPr>
            <w:tcW w:type="dxa" w:w="4752"/>
          </w:tcPr>
          <w:p>
            <w:r>
              <w:t>score 4/12 below primary threshold 7</w:t>
            </w:r>
          </w:p>
        </w:tc>
      </w:tr>
    </w:tbl>
    <w:p>
      <w:pPr>
        <w:pStyle w:val="Heading1"/>
      </w:pPr>
      <w:r>
        <w:t>Peer cohort placement</w:t>
      </w:r>
    </w:p>
    <w:p>
      <w:r>
        <w:t>Evidence depth tier: FULL. Cohort: Non-traded NAV REITs (n=3). Membership rationale: Non-traded monthly-NAV REIT with 2%/5% repurchase plan - the cohort's reference member.</w:t>
      </w:r>
    </w:p>
    <w:p>
      <w:r>
        <w:t>Cohort placement (nontraded_reit, R4 phrasing): mgmt fee: at the cohort median of 1.25 (n=3, too small for percentile language) | expense ratio (bases differ, see notes): fact unavailable for this member | repurchase cap: below the cohort median of 3.5 (n=2, too small for percentile language). Stats and per-member values in data/cohorts/nontraded_reit.json, membership rationales in data/facts.</w:t>
      </w:r>
    </w:p>
    <w:p>
      <w:r>
        <w:t>Cohort exclusion log: every candidate considered and not admitted is recorded with its reason in data/roster_decisions.md (rendered on the site's Cohorts view). Membership is an argued judgment, not a tag.</w:t>
      </w:r>
    </w:p>
    <w:p>
      <w:pPr>
        <w:pStyle w:val="Heading1"/>
      </w:pPr>
      <w:r>
        <w:t>Provenance</w:t>
      </w:r>
    </w:p>
    <w:p>
      <w:r>
        <w:t>Every populated cell carries its source document, section, quote, extractor and verifier in data/evidence/. Current cell status for this product: computed: 12, extracted: 20, fetched: 1, n/a: 14, partial: 7. Cells marked extracted-unverified or computed await independent verification. Verified cells have been independently re-checked. Cells marked structured come directly from machine-readable regulatory data (N-CEN structured datasets, XBRL company facts) with the source dataset cited. No model judgment is involved.</w:t>
      </w:r>
    </w:p>
    <w:p>
      <w:r>
        <w:t>Data sources include SEC EDGAR filings (see data/manifest.csv) and DOL EBSA Form 5500 bulk data. Sponsor name NEVER appears on demo surfaces. Data is public (DOL Form 5500 FOIA files); anonymization is a project display rule, not a legal requirement.</w:t>
      </w:r>
    </w:p>
    <w:p>
      <w:pPr>
        <w:jc w:val="left"/>
      </w:pPr>
      <w:r>
        <w:br/>
        <w:t>Prepared by: ______________________    Reviewed by: ______________________    Date: ____________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