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private_credit without cliffwater_cclfx (bcred, cion_ares, ocic, pflex) (score 10/12)</w:t>
      </w:r>
    </w:p>
    <w:p>
      <w:r>
        <w:t>Window FY2021 to FY2025 (4 overlapping fiscal year(s) of 5 composite years): fund 10.57%/yr vs benchmark 11.25%/yr, KS-PME 0.9756, Direct Alpha -0.61%/yr.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(private_credit / direct_lending)</w:t>
      </w:r>
    </w:p>
    <w:p>
      <w:pPr>
        <w:pStyle w:val="ListBullet"/>
      </w:pPr>
      <w:r>
        <w:t>risk_liquidity_match 2/3: NAV-class series, annual observations vs the fund's daily return data and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4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Senior loan investable proxy (BKLN, for Morningstar LSTA class) (score 9/12)</w:t>
      </w:r>
    </w:p>
    <w:p>
      <w:r>
        <w:t>Window 2019-06-05 to 2026-07-17: fund 7.89%/yr vs benchmark 4.52%/yr, KS-PME 1.2532, Direct Alpha 3.22%/yr.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1.1224 (86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the public-market version of the asset class (syndicated loans for direct lending)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Morningstar LSTA class)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wrapper, the cohort's reference member. Daily NAV, quarterly obligated liquidity.</w:t>
      </w:r>
    </w:p>
    <w:p>
      <w:r>
        <w:t>Cohort placement (private_credit, R4 phrasing): mgmt fee: 10th percentile of cohort (n=5), below the median of 1.25 | expense ratio (bases differ, see notes): 10th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