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stepstone_spm (amg_pantheon, ares_pmf, hl_paf, kkr_kpec) (score 10/12)</w:t>
      </w:r>
    </w:p>
    <w:p>
      <w:r>
        <w:t>Window FY2022 to FY2026 (5 overlapping fiscal year(s) of 5 composite years): fund 14.3%/yr vs benchmark 13.83%/yr, KS-PME 1.0206, Direct Alpha 0.41%/yr.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2021-03-31 to 2026-03-31: fund 12.92%/yr vs benchmark 0.83%/yr, KS-PME 1.762, Direct Alpha 12.0%/yr.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differ, see notes): 10th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