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2016-03-31 to 2026-03-31: fund 13.17%/yr vs benchmark 3.45%/yr; KS-PME 2.4551; Direct Alpha 9.4%/yr.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2016-03-31 to 2026-03-31: fund 13.17%/yr vs benchmark 8.61%/yr; KS-PME 1.5085; Direct Alpha 4.2%/yr.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differ, see notes): 30th percentile of cohort (n=5), below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