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Blackstone Private Credit Fund (non-traded BDC ('34 Act reporting; continuous offering), CIK 1803498)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 xml:space="preserve">1.1: Printed NAV-based net total return series, Class I: FY2021 12.6%, FY2022 3.6%, FY2023 14.4%, FY2024 11.0%, FY2025 8.0% (10-K Note 10); H1-2026 0.2% (10-Q). Underlying month-end NAV per share printed for all 12 months of </w:t>
              <w:br/>
              <w:t>1.2: Calendar-year 'Total return based on NAV' - Class I | Class S | Class D: FY2025 8.0% | 7.1% | 7.8%; FY2024 11.0% | 10.1% | 10.7%; FY2023 14.4% | 13.4% | 14.1%; FY2022 3.6% | 2.7% | 3.3%; FY2021 12.6% | 11.6% | 7.4% (Clas</w:t>
              <w:br/>
              <w:t>1.3: PARTIAL: no gross-of-fees RETURN series is printed anywhere in the 10-K/10-Q (only net 'Total return based on NAV'). What IS printed is the gross-vs-net EXPENSE-ratio spread: FY2025 total operating expense ratio 7.0%/7.9</w:t>
              <w:br/>
              <w:t xml:space="preserve">1.4: Distributions declared every month since January 2021. Class I monthly regular distribution $0.2200 in early 2025 (declared 2025-01-22, record 2025-01-31, paid 2025-02-27, $228.8M). FY totals per share (Class I): FY2025 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RATE: 1.25% per annum. BASE: the value of the Company's net assets (total assets less liabilities, consolidated GAAP) as of the beginning of the first calendar day of the applicable month; payable monthly, settled and pa</w:t>
              <w:br/>
              <w:t>2.2: TWO-PART incentive fee, components independent. (i) INCOME: 12.5% of Pre-Incentive Fee Net Investment Income Returns, quarterly in arrears; hurdle 1.25%/quarter (5.0% annualized) on prior-quarter net assets; 100% catch-u</w:t>
              <w:br/>
              <w:t>2.3: 10-K FY2025 financial highlights net expense ratio (of average net assets): 7.0% Class I / 7.9% Class S / 7.3% Class D - equal to total operating expense ratio (expense support/recoupment and fee waivers 0.0% all classes</w:t>
              <w:br/>
              <w:t>2.4: AFFE printed in the prospectus fee table (2026-05-01): 0.02% of net assets for each of Class I, Class S and Class D (line 'Acquired Fund Fees and Expenses (9)'). 10-K expense-ratio footnote separately states highlight ra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CADENCE: quarterly tender offers at Board discretion (no obligation to offer in any quarter; Board may amend/suspend). CAP: up to 5% of the NAV of Common Shares outstanding, by number of shares or aggregate NAV. CAP BASE</w:t>
              <w:br/>
              <w:t>3.2: Mechanics: quarterly Rule 13e-4 tenders; commencement ~2 months and request deadline ~1 month before the quarter-end pricing date (FY2025 pattern: commence 2025-02-03, deadline 2025-03-03, priced at 2025-03-31 NAV); shar</w:t>
              <w:br/>
              <w:t>3.3: Completed quarterly tenders printed for every quarter 2023-2026H1. FY2023: 36.1M/48.5M/19.5M/21.0M shares = 3.9%/5.2%/2.0%/2.0% of prior-quarter shares - 'All repurchase requests were satisfied in full.' FY2024: 21.9M/18</w:t>
              <w:br/>
              <w:t>3.4: Illiquid private-credit book: Level 3 = $75.0B of $82.2B total investments (91.3% incl. $1.79B NAV-measured JVs) at 2025-12-31; 89.2% first lien private loans; unfunded commitments $13.4B principal (delayed draws/revolve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monthly - NAV determined for each class as of the last day of each calendar month; shares issued at the prior month-end NAV; class NAV = class assets minus class liabilities over class shares. POLICY: fair</w:t>
              <w:br/>
              <w:t>4.2: Fair-value hierarchy at 2025-12-31 ($K): Level 1 $19,774 / Level 2 $5,364,336 / Level 3 $75,023,423 / subtotal $80,407,533; plus investments measured at NAV (JVs) $1,791,813 = total investments $82,199,346. Level 3 = 91.</w:t>
              <w:br/>
              <w:t>4.3: PARTIAL: independent valuation firms ARE engaged (recommended by the Advisers, engaged at the direction of the Board) and prepare quarter-end valuation ranges for Level 3 investments other than de minimis positions, plus</w:t>
              <w:br/>
              <w:t>4.4: By asset type (Note 5 unobservable-inputs table, 2025-12-31): performing debt - market-interest-rate YIELD ANALYSIS (contractual cash flows discounted at market yield): first lien $66,420.8M, discount rate 2.81%-32.47% (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ABSENCE DOCUMENTED: no self-declared performance benchmark anywhere in the FY2025 10-K or the 2026-05-01 prospectus. Zero hits for 'Cliffwater' or 'S&amp;P 500' in either document; the 12 case-insensitive 'LSTA' substring hi</w:t>
              <w:br/>
              <w:t>5.3: Candidates evaluated incl. paid/manual indices, with the peer cohort now a real lane-C candidate (7/12 - reaches threshold, outranked; retained as viable alternate). Full scoring + rejection ledger in the selection artif</w:t>
              <w:br/>
              <w:t>5.4: Peer cohort private_credit (n=5: cliffwater_cclfx, bcred, pflex, cion_ares, ocic). Equal-weight annual composite on printed fiscal-year returns for years with 2 or more reporting members: 2021 (n=5), 2022 (n=5), 2023 (n=</w:t>
              <w:br/>
              <w:t>5.5: PME inputs (computed): window 2021-01-07 to 2025-12-31; flows [-1 at start, 1.5998 at end]; index BKLN adj-close daily-anchored. KS-PME 1.2378, Direct Alpha 4.38%/yr.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Delaware statutory trust formed 2020-02-11; non-diversified closed-end management investment company; elected BDC regulation under the 1940 Act; elected RIC treatment under Subchapter M (intends to qualify annually); per</w:t>
              <w:br/>
              <w:t>6.2: STRATEGY: U.S. private-credit direct lending - predominantly first lien senior secured and unitranche loans (incl. first-out/last-out) to U.S. private companies; also second lien, unsecured, subordinated/mezzanine, struc</w:t>
              <w:br/>
              <w:t>6.3: SEC co-investment exemptive relief in place: co-investment transactions with Blackstone, the Advisers and their affiliates subject to conditions (fair-and-equitable-opportunity policies required; Advisers may still alloc</w:t>
              <w:br/>
              <w:t>6.4: Form 1099-DIV (or Form 1099-B if required) literally printed for U.S. shareholders - prospectus states 1099-DIV expected mailed by January 31 each year; Form 1042-S for non-U.S. shareholders. No K-1 (RIC under Subchapter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Senior loan investable proxy (BKLN, for Morningstar LSTA class) — score 9/12</w:t>
      </w:r>
    </w:p>
    <w:p>
      <w:r>
        <w:t>Window 2021-01-07 to 2025-12-31: fund 12.47%/yr vs benchmark 6.62%/yr; KS-PME 1.2378; Direct Alpha 4.38%/yr.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broadly syndicated loans vs direct lending - close cousin, not twin; fund itself declares NO benchmark (5.1) - engine constructs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PME / Direct Alpha vs BKLN — score 9/12</w:t>
      </w:r>
    </w:p>
    <w:p>
      <w:r>
        <w:t>Window 2021-01-07 to 2025-12-31: fund 12.47%/yr vs benchmark 6.62%/yr; KS-PME 1.2378; Direct Alpha 4.38%/yr.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wealth-ratio PME vs investable loan proxy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private_credit (cclfx, bcred, pflex, cion_ares, ocic)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9/12 -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Cliffwater Direct Lending Index (CDLI)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Private credit (interval fund + non-traded BDC) (n=5). Membership rationale: Direct-lending private credit in a non-traded BDC chassis - same strategy as cclfx on different plumbing (150% asset-coverage leverage, discretionary quarterly tenders, monthly NAV); admitted deliberately cross-wrapper so the caveat machinery has real work.</w:t>
      </w:r>
    </w:p>
    <w:p>
      <w:r>
        <w:t>Cohort placement (private_credit, R4 phrasing): mgmt fee: 50th percentile of cohort (n=5), at the median of 1.25 | expense ratio (bases differ, see notes): 70th percentile of cohort (n=5), above the median of 3.76 | repurchase cap: 50th percentile of cohort (n=5), at the median of 5. Stats and per-member values in data/cohorts/private_credit.json, membership rationales in data/facts.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[bcred: BDC 150% asset-coverage regime - materially MORE leverage headroom than 1940-Act funds; cion_ares: 1940-Act asset-coverage limits; cliffwater_cclfx: 1940-Act asset-coverage limits; ocic: BDC 150% asset-coverage regime - materially MORE leverage headroom than 1940-Act funds; pflex: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[bcred: board-discretionary share repurchases; cion_ares: Rule 23c-3 OBLIGATION (board cannot skip a window); cliffwater_cclfx: Rule 23c-3 OBLIGATION (board cannot skip a window); ocic: board-discretionary share repurchases; pflex: Rule 23c-3 OBLIGATION (board cannot skip a window)]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[bcred: quarterly NAV determinations; cion_ares: daily NAV; cliffwater_cclfx: daily NAV; ocic: quarterly NAV determinations; pflex: daily NAV]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26, fetched: 1, n/a: 16, partial: 3.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