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 xml:space="preserve">5.4: Peer cohort venture (n=3: dxyz, ssss, arkvx). Composite REFUSED: members' pricing bases are heterogeneous (market price vs NAV); an equal-weight composite would average premium/discount dynamics against appraisal NAVs - 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Listed BDC (fka SuRo Capital) holding late-stage growth equity - the second market-priced venture vehicle; gives dxyz a premium/discount comparable. Membership CONDITIONAL on strategy continuity through the Neostellar rename (verification queue).</w:t>
      </w:r>
    </w:p>
    <w:p>
      <w:r>
        <w:t>Cohort placement (venture, R4 phrasing): mgmt fee: below the cohort median of 2.5 (n=3, too small for percentile language) | expense ratio (bases differ, see notes): above the cohort median of 4.53 (n=3, too small for percentile language) | repurchase cap: fact unavailable for this member. Stats and per-member values in data/cohorts/venture.json, membership rationales in data/facts.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