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Designated Investment Alternative Evaluation — Decision Memo</w:t>
      </w:r>
    </w:p>
    <w:p>
      <w:r>
        <w:rPr>
          <w:b/>
        </w:rPr>
        <w:t>Plan: US media/technology company 401(k) plan (~$570M, New York)</w:t>
        <w:br/>
      </w:r>
      <w:r>
        <w:t>Product: Ares Private Markets Fund (tender-offer fund ('40 Act), CIK 1876006)</w:t>
        <w:br/>
      </w:r>
      <w:r>
        <w:t>Date: 2026-09-04    Status: DRAFT — demo build; cells marked extracted-unverified pend independent verification.</w:t>
      </w:r>
    </w:p>
    <w:p>
      <w:pPr>
        <w:pStyle w:val="Heading1"/>
      </w:pPr>
      <w:r>
        <w:t>Regulatory basis</w:t>
      </w:r>
    </w:p>
    <w:p>
      <w:r>
        <w:t>DOL proposed rule, Fiduciary Duties in Selecting Designated Investment Alternatives, 91 FR 16088 (Mar. 31, 2026), RIN 1210-AC38</w:t>
      </w:r>
    </w:p>
    <w:p>
      <w:r>
        <w:t>This memo documents an evaluation of the product below as a potential designated investment alternative (DIA) for the plan, structured on the six factors of the proposed rule: performance, fees and expenses, liquidity, valuation, performance benchmarks, and complexity. The proposed safe harbor attaches to a documented, objective, thorough and analytical process; this memo and its underlying evidence files constitute that record.</w:t>
      </w:r>
    </w:p>
    <w:p>
      <w:r>
        <w:t>On benchmarks, the proposal requires comparison against a meaningful benchmark and acknowledges that no single benchmark is meaningful for every DIA; where none exists, the history of a similar type of investment may serve. The benchmark section below therefore documents the selection AND the rejections: every candidate considered, its score, and the true reason it was or was not chosen. Note: the pleading standard for benchmark-based claims is before the Supreme Court in Anderson v. Intel (argument expected October Term 2026); this memo's approach is designed to be defensible under either outcome.</w:t>
      </w:r>
    </w:p>
    <w:p>
      <w:pPr>
        <w:pStyle w:val="Heading1"/>
      </w:pPr>
      <w:r>
        <w:t>Six-factor findings (summary)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016"/>
          </w:tcPr>
          <w:p>
            <w:r>
              <w:t>Factor</w:t>
            </w:r>
          </w:p>
        </w:tc>
        <w:tc>
          <w:tcPr>
            <w:tcW w:type="dxa" w:w="7344"/>
          </w:tcPr>
          <w:p>
            <w:r>
              <w:t>Key findings (cell: value)</w:t>
            </w:r>
          </w:p>
        </w:tc>
      </w:tr>
      <w:tr>
        <w:tc>
          <w:tcPr>
            <w:tcW w:type="dxa" w:w="2016"/>
          </w:tcPr>
          <w:p>
            <w:r>
              <w:t>1 — Performance</w:t>
            </w:r>
          </w:p>
        </w:tc>
        <w:tc>
          <w:tcPr>
            <w:tcW w:type="dxa" w:w="7344"/>
          </w:tcPr>
          <w:p>
            <w:r>
              <w:t>1.1: PARTIAL: Class I (primary; inception 4/1/2022) NAV/share at fiscal year-end (March 31): FY2023 $26.93 / FY2024 $30.57 / FY2025 $36.12 / FY2026 $39.03, from $25.00 at commencement. Class D (from 9/1/2022): 26.87 / 30.45 /</w:t>
              <w:br/>
              <w:t>1.2: Class I (primary) FY total returns: FY2026 9.58% / FY2025 19.95% / FY2024 17.10% / FY2023 9.27% (period 4/1/2022-3/31/2023). Average Annual Total Returns as of 3/31/2026 (Performance Overview, unaudited): Class I 1mo 1.9</w:t>
              <w:br/>
              <w:t>1.3: No gross-vs-net PERFORMANCE spread is printed (returns are net-only). Expense-side spread (ratios to average net assets, FY2026): gross 5.02% I / 5.21% D / 5.85% A vs net after waivers 4.99% / 5.18% / 5.82% - waiver line</w:t>
              <w:br/>
              <w:t>1.4: No managed-distribution policy: 'The Fund does not have a policy or practice of maintaining a specified level of distributions to shareholders' (FY2026 report); intends to distribute at least 90% of annual net taxable in</w:t>
            </w:r>
          </w:p>
        </w:tc>
      </w:tr>
      <w:tr>
        <w:tc>
          <w:tcPr>
            <w:tcW w:type="dxa" w:w="2016"/>
          </w:tcPr>
          <w:p>
            <w:r>
              <w:t>2 — Fees</w:t>
            </w:r>
          </w:p>
        </w:tc>
        <w:tc>
          <w:tcPr>
            <w:tcW w:type="dxa" w:w="7344"/>
          </w:tcPr>
          <w:p>
            <w:r>
              <w:t>2.1: 1.40% annualized on MANAGED ASSETS - a leverage-inclusive base: total assets (including assets attributable to borrowings/indebtedness/preferred) minus liabilities OTHER than borrowing-related liabilities - calculated an</w:t>
              <w:br/>
              <w:t>2.2: Incentive Fee: 12.5% of the positive difference between quarterly net profits and the then-balance of the Loss Recovery Account (memorandum account, initial balance zero; increased each quarter by net losses, decreased n</w:t>
              <w:br/>
              <w:t>2.3: FY2026 ratios to average net assets: gross 5.02% I / 5.21% D / 5.85% A; net after waivers 4.99% / 5.18% / 5.82% (include incentive-fee drag 1.60/1.58/1.59% and interest expense; EXCLUDE underlying Portfolio Fund income/e</w:t>
              <w:br/>
              <w:t>2.4: AFFE line in the current (2026) fee table: 1.00% for each class (A/D/I), of net assets. Footnote (6): estimated fees/expenses of Portfolio Funds held and expected based on anticipated offering proceeds; reflects Portfoli</w:t>
            </w:r>
          </w:p>
        </w:tc>
      </w:tr>
      <w:tr>
        <w:tc>
          <w:tcPr>
            <w:tcW w:type="dxa" w:w="2016"/>
          </w:tcPr>
          <w:p>
            <w:r>
              <w:t>3 — Liquidity</w:t>
            </w:r>
          </w:p>
        </w:tc>
        <w:tc>
          <w:tcPr>
            <w:tcW w:type="dxa" w:w="7344"/>
          </w:tcPr>
          <w:p>
            <w:r>
              <w:t>3.1: Discretionary quarterly tender offers under Rule 13e-4 - NOT an interval fund: the 2026 486BPOS facing sheet checks 'Registered Closed-End Fund' and leaves the 'Interval Fund (...Rule 23c-3...)' box UNCHECKED. Adviser in</w:t>
              <w:br/>
              <w:t>3.2: Q2-2026 offer mechanics (SC TO-I filed 2026-06-01; Rule 13e-4 issuer tender, all three classes): SIZE up to ~5.00% of net assets (~$215,844,245.85 as of 4/30/2026). NOTICE/EXPIRATION: Letters of Transmittal due 11:59 p.m</w:t>
              <w:br/>
              <w:t>3.3: N-CSR Note 7: four repurchase offers conducted in EACH of FY2026 and FY2025 - 6,433,068 Shares repurchased for $244,528,497 (FY2026) vs 2,378,429 Shares for $82,331,350 (FY2025), a ~3x year-over-year jump in dollars. Per</w:t>
              <w:br/>
              <w:t>3.4: As of 3/31/2026: net assets $4,123,522,171. Private Assets fair value $5,190,549,715 = 125.88% of net assets (Secondary Investments 120.14% / Primary 3.03% / Direct-Co-Investments 2.71%); Short-Term Investments 1.91% ($7</w:t>
            </w:r>
          </w:p>
        </w:tc>
      </w:tr>
      <w:tr>
        <w:tc>
          <w:tcPr>
            <w:tcW w:type="dxa" w:w="2016"/>
          </w:tcPr>
          <w:p>
            <w:r>
              <w:t>4 — Valuation</w:t>
            </w:r>
          </w:p>
        </w:tc>
        <w:tc>
          <w:tcPr>
            <w:tcW w:type="dxa" w:w="7344"/>
          </w:tcPr>
          <w:p>
            <w:r>
              <w:t>4.1: NAV frequency MONTHLY: each class as of close of business on the last business day of each calendar month, plus each repurchase date, any distribution date, and other Board-determined dates (each a 'Determination Date');</w:t>
              <w:br/>
              <w:t>4.2: ASC 820-10 hierarchy at 3/31/2026: Level 1 $78,702,565 (all Short-Term Investments); Level 2 $0; Level 3 $194,007,718 (Direct Investments/Co-Investments $11,328,814 + Secondary Investments $182,678,904); total investment</w:t>
              <w:br/>
              <w:t>4.3: An independent third-party valuation service IS engaged, but its printed scope is narrow: it reviews 'the application of the market adjustment factor and certain idiosyncratic valuation adjustments' - it does not indepen</w:t>
              <w:br/>
              <w:t>4.4: By asset type: (1) PORTFOLIO FUNDS (Secondary + Primary; ~123% of net assets) - NAV practical expedient on latest manager/GP-reported NAV, adjusted for capital activity/events; (2) DIRECT/CO-INVESTMENTS and other Level 3</w:t>
            </w:r>
          </w:p>
        </w:tc>
      </w:tr>
      <w:tr>
        <w:tc>
          <w:tcPr>
            <w:tcW w:type="dxa" w:w="2016"/>
          </w:tcPr>
          <w:p>
            <w:r>
              <w:t>5 — Performance Benchmarks</w:t>
            </w:r>
          </w:p>
        </w:tc>
        <w:tc>
          <w:tcPr>
            <w:tcW w:type="dxa" w:w="7344"/>
          </w:tcPr>
          <w:p>
            <w:r>
              <w:t>5.1: Broad-based comparison index in the FY2026 shareholder report: MSCI World Index - printed as a row in the Average Annual Total Returns table (1yr 18.90% / 3yr 16.77% / 10.28% since 4/1/2022, footnoted that 4/1/2022 is no</w:t>
              <w:br/>
              <w:t>5.3: Candidates evaluated incl. paid/manual indices and the real peer-cohort lane; full scoring + rejection ledger in the selection artifact.</w:t>
              <w:br/>
              <w:t>5.4: Peer cohort evergreen_pe (n=5): members, rationales, stats, composite (or its documented refusal) and caveat block in the cohort artifact; exclusions in data/roster_decisions.md.</w:t>
              <w:br/>
              <w:t>5.5: PME inputs (computed): window 2022-04-01 to 2026-03-31; flows [-1, 1.6819]; index daily-anchored. KS-PME 1.5712, Direct Alpha 11.97%/yr.</w:t>
            </w:r>
          </w:p>
        </w:tc>
      </w:tr>
      <w:tr>
        <w:tc>
          <w:tcPr>
            <w:tcW w:type="dxa" w:w="2016"/>
          </w:tcPr>
          <w:p>
            <w:r>
              <w:t>6 — Complexity</w:t>
            </w:r>
          </w:p>
        </w:tc>
        <w:tc>
          <w:tcPr>
            <w:tcW w:type="dxa" w:w="7344"/>
          </w:tcPr>
          <w:p>
            <w:r>
              <w:t>6.1: Legal form: Delaware statutory trust (organized 7/28/2021), registered closed-end, non-diversified management investment company; RIC under Subchapter M with tax year end September 30 (fiscal year end March 31). Three sh</w:t>
              <w:br/>
              <w:t>6.2: Secondaries-led evergreen private equity fund of funds. 80% policy (2026 prospectus): under normal circumstances at least 80% of net assets (plus investment borrowings) in 'Private Assets' = Secondary Investments (LP-led</w:t>
              <w:br/>
              <w:t>6.3: 486BPOS POTENTIAL CONFLICTS OF INTEREST section: Adviser is a fiduciary, but purchasing Shares deems each shareholder to have acknowledged and WAIVED claims on disclosed actual/potential conflicts; overlapping Other Mana</w:t>
              <w:br/>
              <w:t>6.4: Form 1099-DIV: each year a statement identifying the amount and character (ordinary income, qualified dividend income, long-term capital gain) of distributions is mailed to shareholders (Fund is a RIC under Subchapter M;</w:t>
            </w:r>
          </w:p>
        </w:tc>
      </w:tr>
    </w:tbl>
    <w:p>
      <w:pPr>
        <w:pStyle w:val="Heading1"/>
      </w:pPr>
      <w:r>
        <w:t>Benchmark selection and justification</w:t>
      </w:r>
    </w:p>
    <w:p>
      <w:pPr>
        <w:pStyle w:val="Heading2"/>
      </w:pPr>
      <w:r>
        <w:t>Primary: Listed private equity investable proxy (PSP) — score 9/12</w:t>
      </w:r>
    </w:p>
    <w:p>
      <w:r>
        <w:t>Window 2022-04-01 to 2026-03-31: fund 13.88%/yr vs benchmark 1.72%/yr; KS-PME 1.5712; Direct Alpha 11.97%/yr. Disclosure: PME and alpha computed on appraisal-lagged NAVs are window-sensitive and can be smoothing-flattered; conclusions should be read with the methodology's window-sensitivity analysis.</w:t>
      </w:r>
    </w:p>
    <w:p>
      <w:pPr>
        <w:pStyle w:val="ListBullet"/>
      </w:pPr>
      <w:r>
        <w:t>strategy_match 2/3: listed GPs/holdcos - PE exposure with public-market beta</w:t>
      </w:r>
    </w:p>
    <w:p>
      <w:pPr>
        <w:pStyle w:val="ListBullet"/>
      </w:pPr>
      <w:r>
        <w:t>risk_liquidity_match 1/3: daily-liquid proxy vs semi-liquid fund - vol/liquidity regimes differ</w:t>
      </w:r>
    </w:p>
    <w:p>
      <w:pPr>
        <w:pStyle w:val="ListBullet"/>
      </w:pPr>
      <w:r>
        <w:t>investability 2/2: investable, priced daily</w:t>
      </w:r>
    </w:p>
    <w:p>
      <w:pPr>
        <w:pStyle w:val="ListBullet"/>
      </w:pPr>
      <w:r>
        <w:t>data_quality 2/2: daily series</w:t>
      </w:r>
    </w:p>
    <w:p>
      <w:pPr>
        <w:pStyle w:val="ListBullet"/>
      </w:pPr>
      <w:r>
        <w:t>provider_independence 2/2: provider unaffiliated with the fund</w:t>
      </w:r>
    </w:p>
    <w:p>
      <w:pPr>
        <w:pStyle w:val="Heading2"/>
      </w:pPr>
      <w:r>
        <w:t>Secondary: MSCI World investable proxy (URTH) — score 8/12</w:t>
      </w:r>
    </w:p>
    <w:p>
      <w:r>
        <w:t>Window 2022-04-01 to 2026-03-31: fund 13.88%/yr vs benchmark 10.49%/yr; KS-PME 1.1283; Direct Alpha 3.07%/yr. Disclosure: PME and alpha computed on appraisal-lagged NAVs are window-sensitive and can be smoothing-flattered; conclusions should be read with the methodology's window-sensitivity analysis.</w:t>
      </w:r>
    </w:p>
    <w:p>
      <w:pPr>
        <w:pStyle w:val="ListBullet"/>
      </w:pPr>
      <w:r>
        <w:t>strategy_match 1/3: public equities - liquidity/leverage profile differs materially</w:t>
      </w:r>
    </w:p>
    <w:p>
      <w:pPr>
        <w:pStyle w:val="ListBullet"/>
      </w:pPr>
      <w:r>
        <w:t>risk_liquidity_match 1/3: daily-liquid proxy vs semi-liquid fund - vol/liquidity regimes differ</w:t>
      </w:r>
    </w:p>
    <w:p>
      <w:pPr>
        <w:pStyle w:val="ListBullet"/>
      </w:pPr>
      <w:r>
        <w:t>investability 2/2: investable, priced daily</w:t>
      </w:r>
    </w:p>
    <w:p>
      <w:pPr>
        <w:pStyle w:val="ListBullet"/>
      </w:pPr>
      <w:r>
        <w:t>data_quality 2/2: daily series</w:t>
      </w:r>
    </w:p>
    <w:p>
      <w:pPr>
        <w:pStyle w:val="ListBullet"/>
      </w:pPr>
      <w:r>
        <w:t>provider_independence 2/2: provider unaffiliated with the fund</w:t>
      </w:r>
    </w:p>
    <w:p>
      <w:pPr>
        <w:pStyle w:val="Heading2"/>
      </w:pPr>
      <w:r>
        <w:t>Rejection log (candidates considered and not selected)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456"/>
          </w:tcPr>
          <w:p>
            <w:r>
              <w:t>Candidate</w:t>
            </w:r>
          </w:p>
        </w:tc>
        <w:tc>
          <w:tcPr>
            <w:tcW w:type="dxa" w:w="1152"/>
          </w:tcPr>
          <w:p>
            <w:r>
              <w:t>Score</w:t>
            </w:r>
          </w:p>
        </w:tc>
        <w:tc>
          <w:tcPr>
            <w:tcW w:type="dxa" w:w="4752"/>
          </w:tcPr>
          <w:p>
            <w:r>
              <w:t>Reason</w:t>
            </w:r>
          </w:p>
        </w:tc>
      </w:tr>
      <w:tr>
        <w:tc>
          <w:tcPr>
            <w:tcW w:type="dxa" w:w="3456"/>
          </w:tcPr>
          <w:p>
            <w:r>
              <w:t>PME / Direct Alpha vs PSP</w:t>
            </w:r>
          </w:p>
        </w:tc>
        <w:tc>
          <w:tcPr>
            <w:tcW w:type="dxa" w:w="1152"/>
          </w:tcPr>
          <w:p>
            <w:r>
              <w:t>8/12</w:t>
            </w:r>
          </w:p>
        </w:tc>
        <w:tc>
          <w:tcPr>
            <w:tcW w:type="dxa" w:w="4752"/>
          </w:tcPr>
          <w:p>
            <w:r>
              <w:t>outranked: score 8/12 vs primary 9/12 and secondary 8/12 - only two slots; retained in log as viable alternate</w:t>
            </w:r>
          </w:p>
        </w:tc>
      </w:tr>
      <w:tr>
        <w:tc>
          <w:tcPr>
            <w:tcW w:type="dxa" w:w="3456"/>
          </w:tcPr>
          <w:p>
            <w:r>
              <w:t>Cambridge Associates US PE benchmark</w:t>
            </w:r>
          </w:p>
        </w:tc>
        <w:tc>
          <w:tcPr>
            <w:tcW w:type="dxa" w:w="1152"/>
          </w:tcPr>
          <w:p>
            <w:r>
              <w:t>7/12</w:t>
            </w:r>
          </w:p>
        </w:tc>
        <w:tc>
          <w:tcPr>
            <w:tcW w:type="dxa" w:w="4752"/>
          </w:tcPr>
          <w:p>
            <w:r>
              <w:t>outranked: score 7/12 vs primary 9/12 and secondary 8/12 - only two slots; retained in log as viable alternate</w:t>
            </w:r>
          </w:p>
        </w:tc>
      </w:tr>
      <w:tr>
        <w:tc>
          <w:tcPr>
            <w:tcW w:type="dxa" w:w="3456"/>
          </w:tcPr>
          <w:p>
            <w:r>
              <w:t>Peer cohort: evergreen_pe (hl_paf, stepstone_spm, kkr_kpec, ares_pmf, amg_pantheon)</w:t>
            </w:r>
          </w:p>
        </w:tc>
        <w:tc>
          <w:tcPr>
            <w:tcW w:type="dxa" w:w="1152"/>
          </w:tcPr>
          <w:p>
            <w:r>
              <w:t>7/12</w:t>
            </w:r>
          </w:p>
        </w:tc>
        <w:tc>
          <w:tcPr>
            <w:tcW w:type="dxa" w:w="4752"/>
          </w:tcPr>
          <w:p>
            <w:r>
              <w:t>outranked: score 7/12 vs primary 9/12 and secondary 8/12 - only two slots; retained in log as viable alternate</w:t>
            </w:r>
          </w:p>
        </w:tc>
      </w:tr>
    </w:tbl>
    <w:p>
      <w:pPr>
        <w:pStyle w:val="Heading1"/>
      </w:pPr>
      <w:r>
        <w:t>Peer cohort placement</w:t>
      </w:r>
    </w:p>
    <w:p>
      <w:r>
        <w:t>Evidence depth tier: COHORT. Cohort: Evergreen private equity ('40-Act funds + '34-Act conglomerate) (n=5). Membership rationale: Secondaries-led evergreen PE tender-offer fund - wrapper and strategy twin of hl_paf/stepstone_spm.</w:t>
      </w:r>
    </w:p>
    <w:p>
      <w:r>
        <w:t>Cohort placement (evergreen_pe, R4 phrasing): mgmt fee: 50th percentile of cohort (n=5), at the median of 1.4 | expense ratio (bases differ - see notes): 90th percentile of cohort (n=5), above the median of 3.19 | repurchase cap: fact unavailable for this member. Stats + caveats in the cohort artifact.</w:t>
      </w:r>
    </w:p>
    <w:p>
      <w:pPr>
        <w:pStyle w:val="ListBullet"/>
      </w:pPr>
      <w:r>
        <w:t>Caveat: PRICING-BASIS MIX: some members transact at NAV, others at exchange market price - return comparisons mix appraisal dynamics with premium/discount dynamics; composites across this line are refused, not averaged. [amg_pantheon: NAV; ares_pmf: NAV; hl_paf: NAV; kkr_kpec: transactional NAV; stepstone_spm: NAV]</w:t>
      </w:r>
    </w:p>
    <w:p>
      <w:pPr>
        <w:pStyle w:val="ListBullet"/>
      </w:pPr>
      <w:r>
        <w:t>Caveat: LEVERAGE-REGIME MIX: BDC 150% coverage and non-1940-Act wrappers allow materially more leverage than 1940-Act funds - fee bases and return volatility are not like-for-like. [amg_pantheon: 1940-Act asset-coverage limits; ares_pmf: 1940-Act asset-coverage limits; hl_paf: 1940-Act asset-coverage limits; kkr_kpec: no 1940-Act leverage limits (34-Act conglomerate); stepstone_spm: 1940-Act asset-coverage limits]</w:t>
      </w:r>
    </w:p>
    <w:p>
      <w:pPr>
        <w:pStyle w:val="ListBullet"/>
      </w:pPr>
      <w:r>
        <w:t>Caveat: LIQUIDITY-LAW MIX: Rule 23c-3 obligations, discretionary tenders, and repurchase plans give different worst-case exit rights; cadence numbers alone overstate comparability. [amg_pantheon: board-DISCRETIONARY tender offers (nothing compels the next one); ares_pmf: board-DISCRETIONARY tender offers (nothing compels the next one); hl_paf: board-DISCRETIONARY tender offers (nothing compels the next one); kkr_kpec: board-discretionary share repurchases; stepstone_spm: board-DISCRETIONARY tender offers (nothing compels the next one)]</w:t>
      </w:r>
    </w:p>
    <w:p>
      <w:pPr>
        <w:pStyle w:val="ListBullet"/>
      </w:pPr>
      <w:r>
        <w:t>Caveat: NAV-CADENCE MIX: daily, monthly, and quarterly NAV processes embed different appraisal smoothing; volatility and drawdown comparisons inherit that difference (see de-smoothing lab). [amg_pantheon: daily-to-monthly NAV; ares_pmf: daily-to-monthly NAV; hl_paf: daily-to-monthly NAV; kkr_kpec: monthly transactional NAV; stepstone_spm: daily-to-monthly NAV]</w:t>
      </w:r>
    </w:p>
    <w:p>
      <w:pPr>
        <w:pStyle w:val="ListBullet"/>
      </w:pPr>
      <w:r>
        <w:t>Caveat: kkr_kpec joins under the authorized fallback: its structural twins are Reg D vehicles with no public filings (data/roster_decisions.md - 'The kkr_kpec ruling'). Cross-wrapper caveats apply.</w:t>
      </w:r>
    </w:p>
    <w:p>
      <w:r>
        <w:t>Cohort exclusion log: every candidate considered and not admitted is recorded with its reason in data/roster_decisions.md (rendered on the site's Cohorts view). Membership is an argued judgment, not a tag.</w:t>
      </w:r>
    </w:p>
    <w:p>
      <w:pPr>
        <w:pStyle w:val="Heading1"/>
      </w:pPr>
      <w:r>
        <w:t>Provenance</w:t>
      </w:r>
    </w:p>
    <w:p>
      <w:r>
        <w:t>Every populated cell carries its source document, section, quote, extractor and verifier in data/evidence/. Current cell status for this product: computed: 8, extracted: 28, fetched: 1, n/a: 16, partial: 1. Cells marked extracted-unverified or computed await independent verification; verified cells have been independently re-checked. Cells marked structured come directly from machine-readable regulatory data (N-CEN structured datasets, XBRL company facts) with the source dataset cited; no model judgment is involved.</w:t>
      </w:r>
    </w:p>
    <w:p>
      <w:r>
        <w:t>Data sources include SEC EDGAR filings (see data/manifest.csv) and DOL EBSA Form 5500 bulk data. Sponsor name NEVER appears on demo surfaces. Data is public (DOL Form 5500 FOIA files); anonymization is a project display rule, not a legal requirement.</w:t>
      </w:r>
    </w:p>
    <w:p>
      <w:pPr>
        <w:jc w:val="left"/>
      </w:pPr>
      <w:r>
        <w:br/>
        <w:t>Prepared by: ______________________    Reviewed by: ______________________    Date: ____________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