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ARK Venture Fund (TRUE interval fund (Rule 23c-3), venture/growth (ARKVX), CIK 1905088)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PARTIAL: only fiscal-year points printed in filings. Single-class NAV total returns (FYE July 31): FY2023 (9/1/2022 commencement to 7/31/2023, not annualized) +26.20% (NAV $20.00 to $25.24); FY2024 +3.86% ($26.02); FY202</w:t>
              <w:br/>
              <w:t xml:space="preserve">1.2: Average Annual Total Returns as of 7/31/2025 (single class then offered; NAV total-return basis, dividends reinvested, net of fees, reflects waivers): 1-year +29.62%; since inception 9/1/2022 +20.42% annualized. Printed </w:t>
              <w:br/>
              <w:t xml:space="preserve">1.3: No performance-fee layer, so gross-vs-net spread is entirely expense waivers/reimbursements. FY2025 ratios: 4.39% gross vs 2.90% net (1.49pp waived/reimbursed); FY2024 5.32% vs 2.90% (2.42pp); FY2023 annualized 9.33% vs </w:t>
              <w:br/>
              <w:t>1.4: Sparse, gains-only distribution history: per-share FY2023 $0.00, FY2024 $0.20, FY2025 $0.10 (Financial Highlights line 'Accumulated Net realized gains'; none from net investment income - the Fund runs a net investment lo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RATE: 2.75% per annum. BASE: average DAILY NET ASSETS of the Fund; fee accrued daily, paid monthly; same 2.75% across Class D/S/U in the Oct-2025 fee table. FY2025 management fees incurred: $3,193,989. No breakpoints dis</w:t>
              <w:br/>
              <w:t>2.2: None - documented absence. Adviser compensation is the flat 2.75% Management Fee only, 'in return for providing investment management services'. Full-text searches of the FY2025 N-CSR, 486BPOS (2025-10-27) and 424B3 (202</w:t>
              <w:br/>
              <w:t xml:space="preserve">2.3: Audited FY2025 (single class): 4.39% gross / 2.90% net of average net assets (FY2024 5.32/2.90; FY2023 annualized 9.33/2.90). Prospectus (10/28/2025) projections per class: total annual fund expenses D 3.49% / S 4.19% / </w:t>
              <w:br/>
              <w:t>2.4: AFFE 0.01% for each class (Class D/S/U), prospectus fee table projected for fiscal year ending 7/31/2026 - pro rata share of fees of other funds held (ETFs and money market funds; the only pooled holding at 7/31/2025 was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TRUE interval fund. CADENCE: quarterly Rule 23c-3 repurchase offers in March, June, September, December. CAP: fundamental policy 5%-25% of outstanding shares; Fund expects, and every actual offer to date has been, the 5%</w:t>
              <w:br/>
              <w:t>3.2: Mechanics: Repurchase Offer Notice mailed 21-42 days pre-deadline; tenders through intermediaries/transfer agent (BNY Mellon Investment Servicing) by the quarter-end deadline at NYSE close; NAV determined on the deadline</w:t>
              <w:br/>
              <w:t>3.3: No gating, suspension or postponement disclosed in any on-disk filing. FY2025 audited results (each offer = 5.00% of shares): Sep-2024 (deadline 9/30/2024) repurchased 5.00% / 128,863 shares - the offer was fully utilize</w:t>
              <w:br/>
              <w:t>3.4: Barbell profile at 7/31/2025: total investments $207,693,668 = liquid Level 1 $36,894,997 (17.8%: public equities $27,452,610 + money market fund $9,442,387) vs restricted Level 3 private positions $170,798,671 (82.2%, a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daily - determined each business day at NYSE close (ordinarily 4:00 p.m. ET), per-class; fees/expenses accrued daily. POLICY: Board designated the ADVISER as valuation designee under Board-reviewed/oversee</w:t>
              <w:br/>
              <w:t>4.2: At 7/31/2025 (total investments $207,693,668): Level 1 $36,894,997 (17.8%), Level 2 $0, Level 3 $170,798,671 (82.2%). Level 3 by type: preferred stocks in private companies $93,159,430; common stocks in private companies</w:t>
              <w:br/>
              <w:t>4.3: No independent valuation AGENT of record: the Board appointed the ADVISER (ARK) as valuation designee for fair-value determinations. Independence layer: the Adviser is authorized to use independent third-party pricing se</w:t>
              <w:br/>
              <w:t>4.4: By asset type at 7/31/2025: public equities - closing prices on principal market (Level 1); money market fund - at its NAV; ALL private-company types (preferred, common, SAFEs, convertible interest rights, convertible no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No prospectus-declared benchmark: the word 'benchmark' has zero occurrences in the 486BPOS (searched 2026-08-15). Self-selected comparison indices appear in the N-CSR MDFP: S&amp;P 500 Index and MSCI World (Net) Index, print</w:t>
              <w:br/>
              <w:t>5.3: Candidates evaluated incl. paid/manual indices and the real peer-cohort lane; full scoring + rejection ledger in the selection artifact.</w:t>
              <w:br/>
              <w:t>5.4: Peer cohort venture (n=3): members, rationales, stats, composite (or its documented refusal) and caveat block in the cohort artifact; exclusions in data/roster_decisions.md.</w:t>
              <w:br/>
              <w:t>5.5: PME inputs (computed): window 2022-08-31 to 2026-08-13; flows [-1, 2.915]; index daily-anchored. KS-PME 1.9927, Direct Alpha 19.07%/yr.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 xml:space="preserve">6.1: Delaware statutory trust (organized 1/11/2022) - non-diversified, closed-end, continuously-offered Rule 23c-3 interval fund (1940 Act file 811-23778); Adviser ARK Investment Management LLC. Private exposure held through </w:t>
              <w:br/>
              <w:t>6.2: Venture/growth equity interval fund on the 'disruptive innovation' theme: under normal circumstances substantially all assets in equities, with 20%-90% in private companies (early- to late-stage) and the remainder in pub</w:t>
              <w:br/>
              <w:t>6.3: Disclosed conflicts: side-by-side management of other ARK accounts (trade allocation/aggregation, contrary positions, limited opportunities, soft dollars) with duty-of-loyalty tension across clients; mitigants are Advise</w:t>
              <w:br/>
              <w:t>6.4: Form 1099 - literally printed: annual statement on Form 1099-DIV identifying distribution sources furnished to shareholders (corrected Form 1099 issued when income is reclassified). Fund intends to continue qualifying as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proxy (PSP) — score 8/12</w:t>
      </w:r>
    </w:p>
    <w:p>
      <w:r>
        <w:t>Window 2022-08-31 to 2026-08-13: fund 30.67%/yr vs benchmark 9.98%/yr; KS-PME 1.9927; Direct Alpha 19.07%/yr.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nearest liquid cousin to pre-IPO exposure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S&amp;P 500 investable proxy (SPY) — score 7/12</w:t>
      </w:r>
    </w:p>
    <w:p>
      <w:r>
        <w:t>Window 2022-08-31 to 2026-08-13: fund 30.67%/yr vs benchmark 18.69%/yr; KS-PME 1.4691; Direct Alpha 10.23%/yr.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0/3: large-cap public equity - wrong asset class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venture (dxyz, ssss, arkvx)</w:t>
            </w:r>
          </w:p>
        </w:tc>
        <w:tc>
          <w:tcPr>
            <w:tcW w:type="dxa" w:w="1152"/>
          </w:tcPr>
          <w:p>
            <w:r>
              <w:t>5/12</w:t>
            </w:r>
          </w:p>
        </w:tc>
        <w:tc>
          <w:tcPr>
            <w:tcW w:type="dxa" w:w="4752"/>
          </w:tcPr>
          <w:p>
            <w:r>
              <w:t>score 5/12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Pre-IPO / venture growth (listed CEF + listed BDC + interval fund) (n=3). Membership rationale: Interval fund holding venture/growth - the NAV-priced contrast to the two market-priced members; pricing-basis mix is the cohort's disclosed core caveat (composite refused).</w:t>
      </w:r>
    </w:p>
    <w:p>
      <w:r>
        <w:t>Cohort placement (venture, R4 phrasing): mgmt fee: above the cohort median of 2.5 (n=3 — too small for percentile language) | expense ratio (bases differ - see notes): below the cohort median of 4.53 (n=3 — too small for percentile language) | repurchase cap: only member with this fact (n=1). Stats + caveats in the cohort artifact.</w:t>
      </w:r>
    </w:p>
    <w:p>
      <w:r>
        <w:t>Cohort composite: REFUSED — members' pricing bases are heterogeneous (market price vs NAV); an equal-weight composite would average premium/discount dynamics against appraisal NAVs - refused, not fudged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[arkvx: NAV; dxyz: MARKET PRICE - premium/discount to NAV is the investor's actual basis; ssss: MARKET PRICE - premium/discount to NAV is the investor's actual basis]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[arkvx: 1940-Act asset-coverage limits; dxyz: 1940-Act limits; ssss: BDC 150% asset-coverage regime]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[arkvx: Rule 23c-3 OBLIGATION (board cannot skip a window); dxyz: continuous exchange dealing; ssss: continuous exchange dealing]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[arkvx: daily NAV; dxyz: quarterly filed NAV; ssss: quarterly NAV determinations]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11, extracted: 27, fetched: 1, n/a: 14, partial: 1.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