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(n=3): members, rationales, stats, composite (or its documented refusal) and caveat block in the cohort artifact; exclusions in data/roster_decisions.md.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2024-12-31 to 2025-12-31: fund -2.4%/yr vs benchmark 3.25%/yr; KS-PME 0.9453; Direct Alpha -5.47%/yr.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fact unavailable for this member. Stats + caveats in the cohort artifact.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