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CURRENT TERMS (Investment Management Agreement approved by shareholders March 14, 2025; FY2026 N-CSR): Incentive Fee = 10.00% of the excess of quarterly NET PROFITS over the then-balance of the Loss Recovery Account (mem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(lane C) as constructed by the engine: evergreen-PE peers in universe: stepstone_spm, kkr_kpec (annual granularity; see their 1.2 cells). Universe = this roster; a market-wide peer database is licensed data n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15.31%/yr vs benchmark 0.83%/yr; KS-PME 1.9565; Direct Alpha 14.37%/yr.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15.31%/yr vs benchmark 10.48%/yr; KS-PME 1.2386; Direct Alpha 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