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(lane C) as constructed by the engine: no same-strategy interval-credit peer in the six-product universe (peer lane scored 0 investability/data). Universe = this roster; a market-wide peer database is license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Private credit (interval fund + non-traded BDC) (n=3). Membership rationale: Direct corporate lending in a Rule 23c-3 interval wrapper - the cohort's reference member; daily NAV, quarterly obligated liquidity.</w:t>
      </w:r>
    </w:p>
    <w:p>
      <w:r>
        <w:t>Cohort placement (private_credit, R4 phrasing): mgmt fee: below the cohort median of 1.25 (n=3 — too small for percentile language) | expense ratio (bases differ - see notes): below the cohort median of 1.97 (n=3 — too small for percentile language) | repurchase cap: at the cohort median of 5 (n=3 — too small for percentile language). Stats + caveats in the cohort artifact; the prior universe-of-6 percentile is superseded by cohort placement.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cliffwater_cclfx: 1940-Act asset-coverage limits;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cliffwater_cclfx: Rule 23c-3 OBLIGATION (board cannot skip a window);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cliffwater_cclfx: daily NAV;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