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Attachment A: verbatim text of proposed 29 CFR 2550.404a-6, paragraphs (g) to (l)</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Fetched 2026-09-07T06:19:25+00:00. Content hash (SHA-256 of the fetched text) aef7a94680824e5574780e1f614702189d9dafcf1fde58558ff3ac782d3dcd5a. Runs of whitespace inside a paragraph are collapsed to one space. Every paragraph below is the Federal Register text unchanged. Nothing in it is Tark's.</w:t>
      </w:r>
    </w:p>
    <w:p>
      <w:pPr>
        <w:pStyle w:val="Heading1"/>
        <w:keepNext/>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1"/>
        <w:keepNext/>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1"/>
        <w:keepNext/>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1"/>
        <w:keepNext/>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1"/>
        <w:keepNext/>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1"/>
        <w:keepNext/>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Attachment A. verbatim text of proposed 29 CFR 2550.404a-6 paragraphs (g) to (l)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A: verbatim regulatory text</dc:title>
  <dc:subject>Fiduciary Duties in Selecting Designated Investment Alternatives, 91 FR 16088 (Mar. 31, 2026), RIN 1210-AC38, proposed 29 CFR 2550.404a-6</dc:subject>
  <dc:creator>Tark</dc:creator>
  <cp:keywords>regulation, verbatim</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