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JLL Income Property Trust, Inc. (non-traded REIT ('34 Act reporting, perpetual NAV REIT), CIK 1314152).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Global management-consulting firm profit-sharing/401(k) plan (~$9.8B, NY) (ILLUSTRATIVE): CONDITIONAL.</w:t>
      </w:r>
    </w:p>
    <w:p>
      <w:r>
        <w:t>Meaningful benchmark (paragraph (k)): NCREIF Fund Index, ODCE (private core RE) at 8 of 10, cited, series not in the record. Meaningful benchmark by descriptor. No comparison until its series is held. Peer comparison (paragraphs (g) and (h)): composite refused, fewer than 3 peers remain after leaving JLL Income Property Trust, Inc. out (2: Blackstone Real Estate Income Trust Inc, Starwood Real Estate Income Trust, Inc.).</w:t>
      </w:r>
    </w:p>
    <w:p>
      <w:r>
        <w:t>Evidence coverage: 31 of 37 resolved: 24 evidenced, 7 computed, 6 partial, 18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13.2 years of history since 2012-10-01 (cell 1.11).</w:t>
            </w:r>
          </w:p>
          <w:p>
            <w:r>
              <w:t>Facts on record: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rPr>
          <w:cantSplit/>
        </w:trPr>
        <w:tc>
          <w:tcPr>
            <w:tcW w:type="dxa" w:w="1728"/>
          </w:tcPr>
          <w:p>
            <w:r>
              <w:t>2. Fees (h)</w:t>
            </w:r>
          </w:p>
        </w:tc>
        <w:tc>
          <w:tcPr>
            <w:tcW w:type="dxa" w:w="7632"/>
          </w:tcPr>
          <w:p>
            <w:r>
              <w:t>On fees and expenses (h), the management fee is 1.25% on NAV (cell 2.1), the incentive fee is 10% / 7% hurdle (cell 2.2) and the early repurchase fee is none (cell 2.7).</w:t>
            </w:r>
          </w:p>
          <w:p>
            <w:r>
              <w:t>Facts on record: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no 1940-Act fee table and no financial-highlights expense-ratio line ('expense ratio' = zero hits across stripped 10-K/10-Q/424B3, searched 2026-08-15).</w:t>
            </w:r>
          </w:p>
          <w:p>
            <w:r>
              <w:t>2.4 AFFE (extracted-unverified): Not applicable,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repurchase requests, 5% cap per quarter on NAV, the repurchase program is active as of 2025-12-31 (cell 3.1), no proration is identified in the filings on record (cell 3.3), the plan's filed outflow proxy is 6.5% of the position per year (the plan record) and the structural verdict is conditional with the scenario verdict conditional under this plan (ILLUSTRATIVE, cell 3.9).</w:t>
            </w:r>
          </w:p>
          <w:p>
            <w:r>
              <w:t>Facts on record: 3.1 daily dealing, 5% cap per quarter on NAV. 3.3 no gating identified in the filings on record. 3.9 structural verdict conditional, plan-independent.</w:t>
            </w:r>
          </w:p>
          <w:p>
            <w:r>
              <w:t>3.1 Wrapper liquidity terms (extracted-unverified): CADENCE: DAILY,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KPMG LLP (Big 4) (cell 4.5).</w:t>
            </w:r>
          </w:p>
          <w:p>
            <w:r>
              <w:t>Facts on record: 4.5 KPMG LLP (Big 4).</w:t>
            </w:r>
          </w:p>
          <w:p>
            <w:r>
              <w:t>4.1 Valuation policy &amp; NAV frequency (extracted-unverified): NAV FREQUENCY: DAILY,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quarterly independent appraisal, income approach (DCF) primary with sales-comparison and replacement-cost alternatives, free-and-clear basis excluding property debt, JV properties, same appraisal then JV-agreement distribution provisions applied, DST Properties, cost until first appraisal cycle, revalued before DST offerings, publicly traded RE securities, last trade/bid via third parties, liquidity discount if restricted, private placements/RE operating businesses, cost then quarterly fair value (commingled-vehicle interests may rely on issuer-assigned values), first mortgages/debt interests, cost until impairment indicator triggers third-party appraisal, liquid non-RE assets,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8 of 10 (cell 5.3) and meaningful benchmark by descriptor. No comparison until its series is held.</w:t>
            </w:r>
          </w:p>
          <w:p>
            <w:r>
              <w:t>5.1 Self-declared benchmark (extracted-unverified): Self-declared benchmark EXISTS: NFI-ODCE (NCREIF Fund Index, Open-End Diversified Core Equity),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10 points).</w:t>
            </w:r>
          </w:p>
          <w:p>
            <w:r>
              <w:t>5.7 Case-law tracker (partial): Anderson v. Intel Corp. Investment Policy Committee, No. 25-498 (U.S.).</w:t>
            </w:r>
          </w:p>
          <w:p>
            <w:r>
              <w:t>Not applicable: 5.3 no computable return profile (range-only annual prints). 5.5 no point return series.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10% / 7%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not applicable, the record states why</w:t>
            </w:r>
          </w:p>
        </w:tc>
        <w:tc>
          <w:tcPr>
            <w:tcW w:type="dxa" w:w="2880"/>
          </w:tcPr>
          <w:p>
            <w:r>
              <w:t>n/a, tax form not literally printed: zero hits for '1099' and 'K-1' across stripped 10-K, 10-Q and 424B3 (searched 2026-08-15)</w:t>
            </w:r>
          </w:p>
        </w:tc>
      </w:tr>
    </w:tbl>
    <w:p>
      <w:pPr>
        <w:pStyle w:val="Heading1"/>
        <w:keepNext/>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fund-declared benchmark or SEC-required comparator</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Declared benchmark</w:t>
            </w:r>
          </w:p>
        </w:tc>
        <w:tc>
          <w:tcPr>
            <w:tcW w:type="dxa" w:w="2736"/>
          </w:tcPr>
          <w:p>
            <w:r>
              <w:t>NFI-ODCE</w:t>
            </w:r>
          </w:p>
        </w:tc>
        <w:tc>
          <w:tcPr>
            <w:tcW w:type="dxa" w:w="1584"/>
          </w:tcPr>
          <w:p>
            <w:r>
              <w:t>fund-declared benchmark or SEC-required comparator</w:t>
            </w:r>
          </w:p>
        </w:tc>
        <w:tc>
          <w:tcPr>
            <w:tcW w:type="dxa" w:w="864"/>
          </w:tcPr>
          <w:p>
            <w:r/>
          </w:p>
        </w:tc>
        <w:tc>
          <w:tcPr>
            <w:tcW w:type="dxa" w:w="2592"/>
          </w:tcPr>
          <w:p>
            <w:r>
              <w:t>cited, not held, scored 8 of 10, selected for Slot K</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fails the strategy gate (strategy match 0 of 3)</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JLL Income Property Trust, Inc. out (2: Blackstone Real Estate Income Trust Inc, Starwood Real Estate Income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ranked below the selected candidate: 7 of 10 vs 8 of 10 for NFI-ODCE</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rejected: strategy gate (score 5 of 10 but strategy match 0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8 of 10)</w:t>
      </w:r>
    </w:p>
    <w:p>
      <w:r>
        <w:t>Meaningful benchmark by descriptor. No comparison until its series is held. The candidate is selected on its own descriptors. No number is substituted.</w:t>
      </w:r>
    </w:p>
    <w:p>
      <w:r>
        <w:t>Selection recorded 2026-09-04, record d693827f. Rubric v3.1. The full record hash is d693827fd4918985f9746e2978ac107d45dfd26df64b0d68d3564dd4f396a235.</w:t>
      </w:r>
    </w:p>
    <w:p>
      <w:pPr>
        <w:pStyle w:val="ListBullet"/>
      </w:pPr>
      <w:r>
        <w:t>Strategy match 3 of 3: a private-market index of real estate for a core non-traded real estate fund</w:t>
      </w:r>
    </w:p>
    <w:p>
      <w:pPr>
        <w:pStyle w:val="ListBullet"/>
      </w:pPr>
      <w:r>
        <w:t>Risk and liquidity match 3 of 3: appraisal-based index of periodically dealt funds against a periodically dealt NAV fund with every request filled in full per the filings (daily dealing at NAV under 5% cap per quarter): the pricing process and the liquidity process both match</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Declared benchmark and SEC-required comparators (cell 5.1)</w:t>
      </w:r>
    </w:p>
    <w:p>
      <w:r>
        <w:t>Declared benchmark: NFI-ODCE, cited, not held, scored 8 of 10,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5 of 10, fails the strategy gate (strategy match 0 of 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keepNext/>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pPr>
        <w:keepNext/>
      </w:pPr>
      <w:r>
        <w:t>Composite refused: fewer than 3 peers remain after leaving JLL Income Property Trust, Inc. out (2: Blackstone Real Estate Income Trust Inc, Starwood Real Estate Income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JLL Income Property Trust, Inc.</w:t>
            </w:r>
          </w:p>
        </w:tc>
        <w:tc>
          <w:tcPr>
            <w:tcW w:type="dxa" w:w="2496"/>
          </w:tcPr>
          <w:p>
            <w:r>
              <w:t>Blackstone Real Estate Income Trust Inc</w:t>
            </w:r>
          </w:p>
        </w:tc>
        <w:tc>
          <w:tcPr>
            <w:tcW w:type="dxa" w:w="2496"/>
          </w:tcPr>
          <w:p>
            <w:r>
              <w:t>Starwood Real Estate Income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n/a</w:t>
            </w:r>
          </w:p>
        </w:tc>
        <w:tc>
          <w:tcPr>
            <w:tcW w:type="dxa" w:w="2496"/>
          </w:tcPr>
          <w:p>
            <w:r>
              <w:t>8.1%</w:t>
            </w:r>
          </w:p>
        </w:tc>
        <w:tc>
          <w:tcPr>
            <w:tcW w:type="dxa" w:w="2496"/>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ranked below the selected candidate: 7 of 10 vs 8 of 10 for NFI-ODCE. Criteria: Strategy match 2 of 3: the public-market version of the asset class (listed REITs for core non-traded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rejected: strategy gate (score 5 of 10 but strategy match 0 of 3). Criteria: Strategy match 0 of 3: unrelated asset class (public equity for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daily but only within a 5% cap per quarter on NAV.</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daily repurchase requests,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NAV not yet carried into a fact on record. Verification-queue item</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not computable, the fund's net assets are not on record (aggregate NAV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NAV (3.1), daily repurchase requests (3.1), program active as of 2025-12-31 (3.1), no proration identified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7, partial 5, fetched 1, n/a 18, pending 0. 31 of 37 resolved: 24 evidenced, 7 computed, 6 partial, 18 n/a, 0 verified by a person.</w:t>
      </w:r>
    </w:p>
    <w:p>
      <w:r>
        <w:t>Of the 31 resolved cells (structured, extracted-unverified, verified and computed), 31 carry a source document, 31 a section, 24 a verbatim quote (computed cells carry their computation and inputs instead of a quote) and 31 an extractor. 6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0001314152-26-000030</w:t>
            </w:r>
          </w:p>
          <w:p>
            <w:r>
              <w:t>https://www.sec.gov/Archives/edgar/data/1314152/000131415226000030/jllipt-20251231.htm</w:t>
            </w:r>
          </w:p>
        </w:tc>
        <w:tc>
          <w:tcPr>
            <w:tcW w:type="dxa" w:w="2592"/>
          </w:tcPr>
          <w:p>
            <w:r>
              <w:t>1.1, 1.2, 1.3, 1.4, 1.5, 1.11, 2.1, 2.2, 2.3, 2.4, 2.6, 2.7, 3.1, 3.2, 3.3, 3.4, 3.6, 4.1, 4.2, 4.3, 4.4, 4.5, 5.1, 6.1, 6.2, 6.3, 6.5</w:t>
            </w:r>
          </w:p>
        </w:tc>
      </w:tr>
      <w:tr>
        <w:trPr>
          <w:cantSplit/>
        </w:trPr>
        <w:tc>
          <w:tcPr>
            <w:tcW w:type="dxa" w:w="1872"/>
          </w:tcPr>
          <w:p>
            <w:r>
              <w:t>10-Q 2026-08-11</w:t>
            </w:r>
          </w:p>
        </w:tc>
        <w:tc>
          <w:tcPr>
            <w:tcW w:type="dxa" w:w="4896"/>
          </w:tcPr>
          <w:p>
            <w:r>
              <w:t>accession 0001314152-26-000149</w:t>
            </w:r>
          </w:p>
          <w:p>
            <w:r>
              <w:t>https://www.sec.gov/Archives/edgar/data/1314152/000131415226000149/jllipt-20260630.htm</w:t>
            </w:r>
          </w:p>
        </w:tc>
        <w:tc>
          <w:tcPr>
            <w:tcW w:type="dxa" w:w="2592"/>
          </w:tcPr>
          <w:p>
            <w:r>
              <w:t>1.1, 1.2, 1.4, 1.5, 1.11, 2.1, 2.2, 2.3, 3.1, 3.3, 3.4, 3.6</w:t>
            </w:r>
          </w:p>
        </w:tc>
      </w:tr>
      <w:tr>
        <w:trPr>
          <w:cantSplit/>
        </w:trPr>
        <w:tc>
          <w:tcPr>
            <w:tcW w:type="dxa" w:w="1872"/>
          </w:tcPr>
          <w:p>
            <w:r>
              <w:t>424B3 2026-08-12</w:t>
            </w:r>
          </w:p>
        </w:tc>
        <w:tc>
          <w:tcPr>
            <w:tcW w:type="dxa" w:w="4896"/>
          </w:tcPr>
          <w:p>
            <w:r>
              <w:t>accession 0001314152-26-000153</w:t>
            </w:r>
          </w:p>
          <w:p>
            <w:r>
              <w:t>https://www.sec.gov/Archives/edgar/data/1314152/000131415226000153/supp7august122026.htm</w:t>
            </w:r>
          </w:p>
        </w:tc>
        <w:tc>
          <w:tcPr>
            <w:tcW w:type="dxa" w:w="2592"/>
          </w:tcPr>
          <w:p>
            <w:r>
              <w:t>1.11, 4.1</w:t>
            </w:r>
          </w:p>
        </w:tc>
      </w:tr>
    </w:tbl>
    <w:p>
      <w:pPr>
        <w:keepNext/>
      </w:pPr>
      <w:r>
        <w:t>Cells whose reference does not resolve to a manifest row:</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5.4: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JLL Income Property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JLL Income Property Trust, Inc. for Global management-consulting firm profit-sharing/401(k) plan (~$9.8B, NY)</dc:title>
  <dc:subject>Fiduciary Duties in Selecting Designated Investment Alternatives, 91 FR 16088 (Mar. 31, 2026), RIN 1210-AC38, proposed 29 CFR 2550.404a-6, paragraphs (g) to (l)</dc:subject>
  <dc:creator>Tark</dc:creator>
  <cp:keywords>jll_ipt,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