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Blackstone Private Credit Fund (non-traded BDC ('34 Act reporting, continuous offering), CIK 1803498). </w:t>
      </w:r>
      <w:r>
        <w:t>Date: 2026-09-04. Status: DRAFT until the committee signs page one. Cells marked extracted-unverified pend independent verification.</w:t>
      </w:r>
    </w:p>
    <w:p>
      <w:pPr>
        <w:pStyle w:val="Heading1"/>
        <w:keepNext/>
      </w:pPr>
      <w:r>
        <w:t>Decision summary</w:t>
      </w:r>
    </w:p>
    <w:p>
      <w:r>
        <w:t>Structural liquidity verdict: CONDITIONAL-WEAK (dealing terms on record, plan-independent). Scenario verdict under US industrial manufacturer 401(k) plan (~$0.8B, OH) (ILLUSTRATIVE): CONDITIONAL.</w:t>
      </w:r>
    </w:p>
    <w:p>
      <w:r>
        <w:t>Meaningful benchmark (paragraph (k)): Cliffwater Direct Lending Index (CDLI) at 7 of 10, cited, series not in the record. Meaningful benchmark by descriptor. No comparison until its series is held. Peer comparison (paragraphs (g) and (h)): relative wealth ratio 1.0986 vs the equal-weight peer composite over 2021 to 2025 (n=4), not a benchmark and not a PME.</w:t>
      </w:r>
    </w:p>
    <w:p>
      <w:r>
        <w:t>Reference comparison, not the meaningful benchmark: Senior loan investable proxy (BKLN, for Morningstar LSTA class), KS-PME 1.2378, Direct Alpha 4.38%/yr over 2021-01-07 to 2025-12-31.</w:t>
      </w:r>
    </w:p>
    <w:p>
      <w:r>
        <w:t>Evidence coverage: 37 of 42 resolved: 26 evidenced, 11 computed, 5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gating precedent, repurchases prorated under stress (cell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 years of history since 2021-01-07 (cell 1.11), a KS-PME of 1.2378 against BKLN (cell 1.8) and a relative wealth ratio of 1.0986 against the peer composite (cell 1.12).</w:t>
            </w:r>
          </w:p>
          <w:p>
            <w:r>
              <w:t>Facts on record: 1.8 KS-PME 1.24 vs BKLN (reference, not the benchmark). 1.11 inception 2021-01-07, 5 years. 1.12 peer relative wealth ratio 1.10, not a benchmark.</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no underlying third-party GP funds exist.</w:t>
            </w:r>
          </w:p>
          <w:p>
            <w:r>
              <w:t>1.8 Risk-adjusted metrics (PME etc) (computed): Meaningful benchmark (paragraph (k)), Cliffwater Direct Lending Index (CDLI) scored 7 of 10.</w:t>
            </w:r>
          </w:p>
          <w:p>
            <w:r>
              <w:t>1.9 Stress-window performance (computed): Stress observation from the printed fiscal-year returns on record.</w:t>
            </w:r>
          </w:p>
          <w:p>
            <w:r>
              <w:t>1.11 Track record &amp; manager tenure (extracted-unverified): Track record starts at escrow break 2021-01-07 (trust formed 2020-02-11), about 5.0 years of operating history at the FY2025 10-K (filed 2026-03-13), Deloitte 'auditor since 2020'.</w:t>
            </w:r>
          </w:p>
          <w:p>
            <w:r>
              <w:t>1.12 Peer comparison (paragraphs (g) and (h)) (computed): Peer comparison (paragraphs (g) and (h)): private credit cohort, peers Cliffwater Corporate Lending Fund, PIMCO Flexible Credit Income Fund, CION Ares Diversified Credit Fund, Blue Owl Credit Income Corp., fund return basis filed calendar-year returns (December fiscal year).</w:t>
            </w:r>
          </w:p>
          <w:p>
            <w:r>
              <w:t>Not applicable: 1.6 sub-annual total-return series not free-public (annual highlights, quarterly NAV path excludes distributions). 1.7 monthly return series not free-public for this wrapper. 1.10 not exchange-listed.</w:t>
            </w:r>
          </w:p>
        </w:tc>
      </w:tr>
      <w:tr>
        <w:trPr>
          <w:cantSplit/>
        </w:trPr>
        <w:tc>
          <w:tcPr>
            <w:tcW w:type="dxa" w:w="1728"/>
          </w:tcPr>
          <w:p>
            <w:r>
              <w:t>2. Fees (h)</w:t>
            </w:r>
          </w:p>
        </w:tc>
        <w:tc>
          <w:tcPr>
            <w:tcW w:type="dxa" w:w="7632"/>
          </w:tcPr>
          <w:p>
            <w:r>
              <w:t>On fees and expenses (h), the management fee is 1.25% on net assets (cell 2.1), the incentive fee is 12.5% / 5% hurdle (cell 2.2), the expense ratio is 7.00% (including the interest and financing cost of BDC leverage (FY2025, Class I)) (cell 2.3) and the early repurchase fee is 2% &lt; 1 year (cell 2.7).</w:t>
            </w:r>
          </w:p>
          <w:p>
            <w:r>
              <w:t>Facts on record: 2.1 1.25% on net assets. 2.2 incentive fee: 12.5% / 5% hurdle. 2.3 7.00% expense ratio, including the interest and financing cost of BDC leverage (FY2025, Class I).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equal to total operating expense ratio (expense support/recoupment and fee waivers 0.0% all classes, ratios exclude expenses of underlying investment companies incl. JVs).</w:t>
            </w:r>
          </w:p>
          <w:p>
            <w:r>
              <w:t>2.4 AFFE (extracted-unverified): AFFE printed in the prospectus fee table (2026-05-01): 0.02% of net assets for each of Class I, Class S and Class D (line 'Acquired Fund Fees and Expenses (9)').</w:t>
            </w:r>
          </w:p>
          <w:p>
            <w:r>
              <w:t>2.6 Loads &amp; servicing fees (extracted-unverified): By class, upfront: no upfront selling commissions paid to the Fund on any class, intermediary-charged transaction/placement fees capped at 3.5% of NAV (Class S) and 1.5% of NAV (Class D), none permitted on Class I. Ongoing shareholder servicing and/or distribution fee (annualized, % of aggregate class NAV, paid monthly in arrears to Intermediary Manager Blackstone Securities Partners L.P., reallowed to brokers): Class I 0% / Class S 0.85% / Class D 0.25%.</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 credit cohort):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NAV, the repurchase program is active as of 2025-12-31 (cell 3.1), requests have been prorated under stress before (cell 3.3), the plan's filed outflow proxy is 11.5% of the position per year (the plan record) and the structural verdict is conditional-weak with the scenario verdict conditional under this plan (ILLUSTRATIVE, cell 3.9).</w:t>
            </w:r>
          </w:p>
          <w:p>
            <w:r>
              <w:t>Facts on record: 3.1 quarterly dealing, 5% cap per quarter on NAV. 3.3 gating history: yes, prorated under stress. 3.9 structural verdict conditional-weak, plan-independent.</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 $1.79B NAV-measured JVs) at 2025-12-31, 89.2% first lien private loans, unfunded commitments $13.4B principal (delayed draws/revolvers).</w:t>
            </w:r>
          </w:p>
          <w:p>
            <w:r>
              <w:t>3.6 Fund leverage &amp; facilities (extracted-unverified): Core leverage: 1940-Act 150% minimum asset coverage election (Section 61(a)(2), sole-shareholder approval 2020-08-26, up to 2:1 debt-to-equity).</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but this issuer HAS prorated under stress (3.3). Source: this plan's liquidity match.</w:t>
            </w:r>
          </w:p>
          <w:p>
            <w:r>
              <w:t>3.9 Product-to-plan liquidity match (computed, this plan): Structural liquidity verdict CONDITIONAL-WEAK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but no firm is NAMED anywhere in the 10-K.</w:t>
            </w:r>
          </w:p>
          <w:p>
            <w:r>
              <w:t>4.4 Methodology by asset type (extracted-unverified): By asset type (Note 5 unobservable-inputs table, 2025-12-31): performing debt,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 2 (2026-07-24) for 'restat' and 'error correction'.</w:t>
            </w:r>
          </w:p>
          <w:p>
            <w:r>
              <w:t>Not applicable: 4.7 no market price for a non-listed NAV-transaction wrapper. 4.8 quarterly NAV cadence, rho estimation not meaningful at n=9. 4.9 CIT only.</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ABSENCE DOCUMENTED: no self-declared performance benchmark anywhere in the FY2025 10-K or the 2026-05-01 prospectus.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2021-01-07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BDC (cell 6.1), tax reporting is Form 1099 (cell 6.4) and cells 6.6 and 6.8 are advisor-completed under paragraph (l).</w:t>
            </w:r>
          </w:p>
          <w:p>
            <w:r>
              <w:t>Facts on record: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 private-credit direct lending, predominantly first lien senior secured and unitranche loans (incl. first-out/last-out) to U.S. private companies, also second lien, unsecured, subordinated/mezzanine, structured credit and broadly syndicated loans, at least 70% U.S. private companies (BDC requirement), some European/other non-U.S., no emerging markets, objectives: current income and, to a lesser extent, long-term capital appreciation.</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 shareholders, prospectus states 1099-DIV expected mailed by January 31 each year, Form 1042-S for non-U.S.</w:t>
            </w:r>
          </w:p>
          <w:p>
            <w:r>
              <w:t>6.5 Service-provider web (extracted-unverified): Custodian: State Street Bank and Trust Company (100 Summer Street, Boston, MA).</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net assets</w:t>
            </w:r>
          </w:p>
        </w:tc>
        <w:tc>
          <w:tcPr>
            <w:tcW w:type="dxa" w:w="2880"/>
          </w:tcPr>
          <w:p>
            <w:r>
              <w:t>extracted-unverified</w:t>
            </w:r>
          </w:p>
        </w:tc>
      </w:tr>
      <w:tr>
        <w:trPr>
          <w:cantSplit/>
        </w:trPr>
        <w:tc>
          <w:tcPr>
            <w:tcW w:type="dxa" w:w="2880"/>
          </w:tcPr>
          <w:p>
            <w:r>
              <w:t>2.2 Incentive fee terms</w:t>
            </w:r>
          </w:p>
        </w:tc>
        <w:tc>
          <w:tcPr>
            <w:tcW w:type="dxa" w:w="3600"/>
          </w:tcPr>
          <w:p>
            <w:r>
              <w:t>incentive fee: 12.5% / 5% hurdle</w:t>
            </w:r>
          </w:p>
        </w:tc>
        <w:tc>
          <w:tcPr>
            <w:tcW w:type="dxa" w:w="2880"/>
          </w:tcPr>
          <w:p>
            <w:r>
              <w:t>extracted-unverified</w:t>
            </w:r>
          </w:p>
        </w:tc>
      </w:tr>
      <w:tr>
        <w:trPr>
          <w:cantSplit/>
        </w:trPr>
        <w:tc>
          <w:tcPr>
            <w:tcW w:type="dxa" w:w="2880"/>
          </w:tcPr>
          <w:p>
            <w:r>
              <w:t>2.3 Total expense ratio &amp; waivers</w:t>
            </w:r>
          </w:p>
        </w:tc>
        <w:tc>
          <w:tcPr>
            <w:tcW w:type="dxa" w:w="3600"/>
          </w:tcPr>
          <w:p>
            <w:r>
              <w:t>7.00% expense ratio, including the interest and financing cost of BDC leverage (FY2025, Class I)</w:t>
            </w:r>
          </w:p>
        </w:tc>
        <w:tc>
          <w:tcPr>
            <w:tcW w:type="dxa" w:w="2880"/>
          </w:tcPr>
          <w:p>
            <w:r>
              <w:t>extracted-unverified</w:t>
            </w:r>
          </w:p>
        </w:tc>
      </w:tr>
      <w:tr>
        <w:trPr>
          <w:cantSplit/>
        </w:trPr>
        <w:tc>
          <w:tcPr>
            <w:tcW w:type="dxa" w:w="2880"/>
          </w:tcPr>
          <w:p>
            <w:r>
              <w:t>2.4 AFFE</w:t>
            </w:r>
          </w:p>
        </w:tc>
        <w:tc>
          <w:tcPr>
            <w:tcW w:type="dxa" w:w="3600"/>
          </w:tcPr>
          <w:p>
            <w:r>
              <w:t>AFFE 0.02%</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1.2378, Direct Alpha 4.38%/yr, 2021-01-07 to 2025-12-31</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1.0986, annualized excess return 1.9%/yr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a608225b. Rubric v3.1. The full record hash is a608225b48e4ce7c01c95c8135e1385390259758265bd7b173438738d2b5b25f.</w:t>
      </w:r>
    </w:p>
    <w:p>
      <w:pPr>
        <w:pStyle w:val="ListBullet"/>
      </w:pPr>
      <w:r>
        <w:t>Strategy match 3 of 3: same asset class and sub-strategy (private credit / direct lending)</w:t>
      </w:r>
    </w:p>
    <w:p>
      <w:pPr>
        <w:pStyle w:val="ListBullet"/>
      </w:pPr>
      <w:r>
        <w:t>Risk and liquidity match 2 of 3: appraisal-based index without a dealing mechanism of its own against a NAV fund that has prorated requests (quarterly dealing at NAV under 5% cap per quarter, requests prorated in the filings on record): the index carries no gate, so the liquidity process is one step apart</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2021-01-07 to 2025-12-31: fund 9.89%/yr (filed calendar-year returns (December fiscal year)) vs the public series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documented absence, zero index references.</w:t>
      </w:r>
    </w:p>
    <w:p>
      <w:pPr>
        <w:pStyle w:val="Heading2"/>
        <w:keepNext/>
      </w:pPr>
      <w:r>
        <w:t>Peer comparison (paragraphs (g) and (h)): private credit cohort</w:t>
      </w:r>
    </w:p>
    <w:p>
      <w:r>
        <w:t>Peers: Cliffwater Corporate Lending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9.85%/yr (filed calendar-year returns (December fiscal year)) vs the peer composite 7.81%/yr, relative wealth ratio 1.0986, annualized excess return 1.9%/yr.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PIMCO Flexible Credit Income Fund: Yahoo adjusted close, approximates NAV total return,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Blackstone Private Credit Fund</w:t>
            </w:r>
          </w:p>
        </w:tc>
        <w:tc>
          <w:tcPr>
            <w:tcW w:type="dxa" w:w="1498"/>
          </w:tcPr>
          <w:p>
            <w:r>
              <w:t>Cliffwater Corporate Lending Fund</w:t>
            </w:r>
          </w:p>
        </w:tc>
        <w:tc>
          <w:tcPr>
            <w:tcW w:type="dxa" w:w="1498"/>
          </w:tcPr>
          <w:p>
            <w:r>
              <w:t>PIMCO Flexible Credit Income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2.86%</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10.63%</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n/a</w:t>
            </w:r>
          </w:p>
        </w:tc>
        <w:tc>
          <w:tcPr>
            <w:tcW w:type="dxa" w:w="1498"/>
          </w:tcPr>
          <w:p>
            <w:r>
              <w:t>5.39%</w:t>
            </w:r>
          </w:p>
        </w:tc>
        <w:tc>
          <w:tcPr>
            <w:tcW w:type="dxa" w:w="1498"/>
          </w:tcPr>
          <w:p>
            <w:r>
              <w:t>4.29%</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12.6%</w:t>
            </w:r>
          </w:p>
        </w:tc>
        <w:tc>
          <w:tcPr>
            <w:tcW w:type="dxa" w:w="1498"/>
          </w:tcPr>
          <w:p>
            <w:r>
              <w:t>10.38%</w:t>
            </w:r>
          </w:p>
        </w:tc>
        <w:tc>
          <w:tcPr>
            <w:tcW w:type="dxa" w:w="1498"/>
          </w:tcPr>
          <w:p>
            <w:r>
              <w:t>11.29%</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3.6%</w:t>
            </w:r>
          </w:p>
        </w:tc>
        <w:tc>
          <w:tcPr>
            <w:tcW w:type="dxa" w:w="1498"/>
          </w:tcPr>
          <w:p>
            <w:r>
              <w:t>2.05%</w:t>
            </w:r>
          </w:p>
        </w:tc>
        <w:tc>
          <w:tcPr>
            <w:tcW w:type="dxa" w:w="1498"/>
          </w:tcPr>
          <w:p>
            <w:r>
              <w:t>-15.36%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14.4%</w:t>
            </w:r>
          </w:p>
        </w:tc>
        <w:tc>
          <w:tcPr>
            <w:tcW w:type="dxa" w:w="1498"/>
          </w:tcPr>
          <w:p>
            <w:r>
              <w:t>12.66%</w:t>
            </w:r>
          </w:p>
        </w:tc>
        <w:tc>
          <w:tcPr>
            <w:tcW w:type="dxa" w:w="1498"/>
          </w:tcPr>
          <w:p>
            <w:r>
              <w:t>9.25%</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11%</w:t>
            </w:r>
          </w:p>
        </w:tc>
        <w:tc>
          <w:tcPr>
            <w:tcW w:type="dxa" w:w="1498"/>
          </w:tcPr>
          <w:p>
            <w:r>
              <w:t>12.62%</w:t>
            </w:r>
          </w:p>
        </w:tc>
        <w:tc>
          <w:tcPr>
            <w:tcW w:type="dxa" w:w="1498"/>
          </w:tcPr>
          <w:p>
            <w:r>
              <w:t>15.27%</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8%</w:t>
            </w:r>
          </w:p>
        </w:tc>
        <w:tc>
          <w:tcPr>
            <w:tcW w:type="dxa" w:w="1498"/>
          </w:tcPr>
          <w:p>
            <w:r>
              <w:t>8.92%</w:t>
            </w:r>
          </w:p>
        </w:tc>
        <w:tc>
          <w:tcPr>
            <w:tcW w:type="dxa" w:w="1498"/>
          </w:tcPr>
          <w:p>
            <w:r>
              <w:t>12.2%</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CONDITIONAL-WEAK</w:t>
      </w:r>
    </w:p>
    <w:p>
      <w:pPr>
        <w:pStyle w:val="ListBullet"/>
      </w:pPr>
      <w:r>
        <w:t>STRUCTURAL GAP: a participant-directed 404(c) menu assumes daily pricing and daily participant liquidity, whereas this wrapper deals quarterly with a 5% cap per quarter on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BDC</w:t>
            </w:r>
          </w:p>
        </w:tc>
        <w:tc>
          <w:tcPr>
            <w:tcW w:type="dxa" w:w="1152"/>
          </w:tcPr>
          <w:p>
            <w:r>
              <w:t>6.1</w:t>
            </w:r>
          </w:p>
        </w:tc>
      </w:tr>
      <w:tr>
        <w:trPr>
          <w:cantSplit/>
        </w:trPr>
        <w:tc>
          <w:tcPr>
            <w:tcW w:type="dxa" w:w="2448"/>
          </w:tcPr>
          <w:p>
            <w:r>
              <w:t>Dealing terms</w:t>
            </w:r>
          </w:p>
        </w:tc>
        <w:tc>
          <w:tcPr>
            <w:tcW w:type="dxa" w:w="5760"/>
          </w:tcPr>
          <w:p>
            <w:r>
              <w:t>quarterly offers, 5% cap per quarter on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 but this issuer HAS prorated under stress (3.3).</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11.5% and the stressed demand 16.6% of the position per year both stay within the annual wrapper capacity 20% (binding cap 5% per quarter on NAV (3.1), quarterly offers (3.1), program active as of 2025-12-31 (3.1), prorated under stress before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11, partial 4, fetched 1, n/a 13, pending 0. 37 of 42 resolved: 26 evidenced, 11 computed, 5 partial, 13 n/a, 0 verified by a person.</w:t>
      </w:r>
    </w:p>
    <w:p>
      <w:r>
        <w:t>Of the 37 resolved cells (structured, extracted-unverified, verified and computed), 37 carry a source document, 37 a section, 26 a verbatim quote (computed cells carry their computation and inputs instead of a quote) and 37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2026-03-13</w:t>
            </w:r>
          </w:p>
        </w:tc>
        <w:tc>
          <w:tcPr>
            <w:tcW w:type="dxa" w:w="4896"/>
          </w:tcPr>
          <w:p>
            <w:r>
              <w:t>accession 0001803498-26-000014</w:t>
            </w:r>
          </w:p>
          <w:p>
            <w:r>
              <w:t>https://www.sec.gov/Archives/edgar/data/1803498/000180349826000014/bcred-20251231.htm</w:t>
            </w:r>
          </w:p>
        </w:tc>
        <w:tc>
          <w:tcPr>
            <w:tcW w:type="dxa" w:w="2592"/>
          </w:tcPr>
          <w:p>
            <w:r>
              <w:t>1.1, 1.2, 1.3, 1.4, 1.5, 1.11 (matched by form only), 2.1, 2.2, 2.3, 2.6, 2.7, 3.1, 3.2, 3.3, 3.4, 3.6, 4.1, 4.2, 4.3, 4.4, 4.5, 5.1, 6.1 (matched by form only), 6.2, 6.3, 6.5 (matched by form only)</w:t>
            </w:r>
          </w:p>
        </w:tc>
      </w:tr>
      <w:tr>
        <w:trPr>
          <w:cantSplit/>
        </w:trPr>
        <w:tc>
          <w:tcPr>
            <w:tcW w:type="dxa" w:w="1872"/>
          </w:tcPr>
          <w:p>
            <w:r>
              <w:t>486BPOS 2026-05-01</w:t>
            </w:r>
          </w:p>
        </w:tc>
        <w:tc>
          <w:tcPr>
            <w:tcW w:type="dxa" w:w="4896"/>
          </w:tcPr>
          <w:p>
            <w:r>
              <w:t>accession 0001193125-26-198102</w:t>
            </w:r>
          </w:p>
          <w:p>
            <w:r>
              <w:t>https://www.sec.gov/Archives/edgar/data/1803498/000119312526198102/d120436d486bpos.htm</w:t>
            </w:r>
          </w:p>
        </w:tc>
        <w:tc>
          <w:tcPr>
            <w:tcW w:type="dxa" w:w="2592"/>
          </w:tcPr>
          <w:p>
            <w:r>
              <w:t>1.11, 2.3, 2.4, 5.1 (matched by form only), 6.1, 6.4, 6.5</w:t>
            </w:r>
          </w:p>
        </w:tc>
      </w:tr>
      <w:tr>
        <w:trPr>
          <w:cantSplit/>
        </w:trPr>
        <w:tc>
          <w:tcPr>
            <w:tcW w:type="dxa" w:w="1872"/>
          </w:tcPr>
          <w:p>
            <w:r>
              <w:t>424B3 2026-07-24</w:t>
            </w:r>
          </w:p>
        </w:tc>
        <w:tc>
          <w:tcPr>
            <w:tcW w:type="dxa" w:w="4896"/>
          </w:tcPr>
          <w:p>
            <w:r>
              <w:t>accession 0001193125-26-316168</w:t>
            </w:r>
          </w:p>
          <w:p>
            <w:r>
              <w:t>https://www.sec.gov/Archives/edgar/data/1803498/000119312526316168/d145798d424b3.htm</w:t>
            </w:r>
          </w:p>
        </w:tc>
        <w:tc>
          <w:tcPr>
            <w:tcW w:type="dxa" w:w="2592"/>
          </w:tcPr>
          <w:p>
            <w:r>
              <w:t>1.11</w:t>
            </w:r>
          </w:p>
        </w:tc>
      </w:tr>
      <w:tr>
        <w:trPr>
          <w:cantSplit/>
        </w:trPr>
        <w:tc>
          <w:tcPr>
            <w:tcW w:type="dxa" w:w="1872"/>
          </w:tcPr>
          <w:p>
            <w:r>
              <w:t>SC TO-I 2026-08-04</w:t>
            </w:r>
          </w:p>
        </w:tc>
        <w:tc>
          <w:tcPr>
            <w:tcW w:type="dxa" w:w="4896"/>
          </w:tcPr>
          <w:p>
            <w:r>
              <w:t>accession 0001193125-26-331631</w:t>
            </w:r>
          </w:p>
          <w:p>
            <w:r>
              <w:t>https://www.sec.gov/Archives/edgar/data/1803498/000119312526331631/d58084dsctoi.htm</w:t>
            </w:r>
          </w:p>
        </w:tc>
        <w:tc>
          <w:tcPr>
            <w:tcW w:type="dxa" w:w="2592"/>
          </w:tcPr>
          <w:p>
            <w:r>
              <w:t>3.1, 3.3</w:t>
            </w:r>
          </w:p>
        </w:tc>
      </w:tr>
      <w:tr>
        <w:trPr>
          <w:cantSplit/>
        </w:trPr>
        <w:tc>
          <w:tcPr>
            <w:tcW w:type="dxa" w:w="1872"/>
          </w:tcPr>
          <w:p>
            <w:r>
              <w:t>10-Q 2026-08-12</w:t>
            </w:r>
          </w:p>
        </w:tc>
        <w:tc>
          <w:tcPr>
            <w:tcW w:type="dxa" w:w="4896"/>
          </w:tcPr>
          <w:p>
            <w:r>
              <w:t>accession 0001803498-26-000048</w:t>
            </w:r>
          </w:p>
          <w:p>
            <w:r>
              <w:t>https://www.sec.gov/Archives/edgar/data/1803498/000180349826000048/bcred-20260630.htm</w:t>
            </w:r>
          </w:p>
        </w:tc>
        <w:tc>
          <w:tcPr>
            <w:tcW w:type="dxa" w:w="2592"/>
          </w:tcPr>
          <w:p>
            <w:r>
              <w:t>1.1, 1.2, 2.3 (matched by form only), 3.3, 3.4, 3.6, 6.5 (matched by form only)</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4.6: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Blackstone Private Credit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Blackstone Private Credit Fund for US industrial manufacturer 401(k) plan (~$0.8B, OH)</dc:title>
  <dc:subject>Fiduciary Duties in Selecting Designated Investment Alternatives, 91 FR 16088 (Mar. 31, 2026), RIN 1210-AC38, proposed 29 CFR 2550.404a-6, paragraphs (g) to (l)</dc:subject>
  <dc:creator>Tark</dc:creator>
  <cp:keywords>bcred,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