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Ares Private Markets Fund (tender-offer fund ('40 Act), CIK 1876006).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Cambridge Associates US PE benchmark at 8 of 10, cited, series not in the record. Meaningful benchmark by descriptor. No comparison until its series is held. Peer comparison (paragraphs (g) and (h)): relative wealth ratio 1.0918 vs the equal-weight peer composite over FY2023 to FY2026 (years to 03-31) (n=3), not a benchmark and not a PME.</w:t>
      </w:r>
    </w:p>
    <w:p>
      <w:r>
        <w:t>Reference comparison, not the meaningful benchmark: Listed private equity investable proxy (PSP), KS-PME 1.5712, Direct Alpha 11.97%/yr over 2022-04-01 to 2026-03-31.</w:t>
      </w:r>
    </w:p>
    <w:p>
      <w:r>
        <w:t>Evidence coverage: 39 of 42 resolved: 28 evidenced, 11 computed, 3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4 years of history since 2022-04-01 (cell 1.11), a KS-PME of 1.5712 against PSP (cell 1.8) and a relative wealth ratio of 1.0918 against the peer composite (cell 1.12).</w:t>
            </w:r>
          </w:p>
          <w:p>
            <w:r>
              <w:t>Facts on record: 1.8 KS-PME 1.57 vs PSP (reference, not the benchmark). 1.11 inception 2022-04-01, 4 years. 1.12 peer relative wealth ratio 1.09, not a benchmark.</w:t>
            </w:r>
          </w:p>
          <w:p>
            <w:r>
              <w:t>1.1 Net total return series (partial): PARTIAL: Class I (primary, inception 4/1/2022) NAV/share at fiscal year-end (March 31): FY2023 $26.93 / FY2024 $30.57 / FY2025 $36.12 / FY2026 $39.03, from $25.00 at commencement.</w:t>
            </w:r>
          </w:p>
          <w:p>
            <w:r>
              <w:t>1.2 Trailing &amp; calendar-year returns (extracted-unverified): Class I (primary) FY total returns: FY2026 9.58% / FY2025 19.95% / FY2024 17.10% / FY2023 9.27% (period 4/1/2022-3/31/2023).</w:t>
            </w:r>
          </w:p>
          <w:p>
            <w:r>
              <w:t>1.3 Gross vs net spread (extracted-unverified): No gross-vs-net PERFORMANCE spread is printed (returns are net-only).</w:t>
            </w:r>
          </w:p>
          <w:p>
            <w:r>
              <w:t>1.4 Distribution history &amp; composition (extracted-unverified): No managed-distribution policy: 'The Fund does not have a policy or practice of maintaining a specified level of distributions to shareholders' (FY2026 report), intends to distribute at least 90% of annual net taxable income (RIC).</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organized as a Delaware statutory trust July 28, 2021, commenced operations April 1, 2022 - about 4 years of track record at the FY2026 report.</w:t>
            </w:r>
          </w:p>
          <w:p>
            <w:r>
              <w:t>1.12 Peer comparison (paragraphs (g) and (h)) (computed): Peer comparison (paragraphs (g) and (h)): evergreen private equity cohort, peers Hamilton Lane Private Assets Fund, StepStone Private Markets, KKR Private Equity Conglomerate LLC, AMG Pantheon Fund, LLC, fund return basis filed fiscal-year returns.</w:t>
            </w:r>
          </w:p>
          <w:p>
            <w:r>
              <w:t>Not applicable: 1.5 underlying Portfolio Fund/GP-level returns are LP-only reporting, filings disclose holdings at fair value (see 3.4/SOI), not underlying fund IRRs. 1.6 sub-annual return series not free-public for this wrapper. 1.7 sub-annual return series not free-public for this wrapper. 1.10 listed-CEF only.</w:t>
            </w:r>
          </w:p>
        </w:tc>
      </w:tr>
      <w:tr>
        <w:trPr>
          <w:cantSplit/>
        </w:trPr>
        <w:tc>
          <w:tcPr>
            <w:tcW w:type="dxa" w:w="1728"/>
          </w:tcPr>
          <w:p>
            <w:r>
              <w:t>2. Fees (h)</w:t>
            </w:r>
          </w:p>
        </w:tc>
        <w:tc>
          <w:tcPr>
            <w:tcW w:type="dxa" w:w="7632"/>
          </w:tcPr>
          <w:p>
            <w:r>
              <w:t>On fees and expenses (h), the management fee is 1.40% on managed assets (leverage-inclusive) (cell 2.1), the incentive fee is 12.5% (cell 2.2), the expense ratio is 5.02% (gross, before a 0.03% waiver, including the 1.60% incentive-fee drag, AFFE excluded (FY2026, Class I)) (cell 2.3) and the early repurchase fee is 2% &lt; 1 year (cell 2.7).</w:t>
            </w:r>
          </w:p>
          <w:p>
            <w:r>
              <w:t>Facts on record: 2.1 1.40% on managed assets (leverage-inclusive). 2.2 incentive fee: 12.5%. 2.3 5.02% expense ratio, gross, before a 0.03% waiver, including the 1.60% incentive-fee drag, AFFE excluded (FY2026, Class I). 2.4 AFFE 1.00%. 2.7 early repurchase fee: 2% &lt; 1 year.</w:t>
            </w:r>
          </w:p>
          <w:p>
            <w:r>
              <w:t>2.1 Management fee (rate AND base) (extracted-unverified): 1.40% annualized on MANAGED ASSETS, a leverage-inclusive base: total assets (including assets attributable to borrowings/indebtedness/preferred) minus liabilities OTHER than borrowing-related liabilities, calculated and accrued monthly as of the last business day of each month, paid quarterly in arrears within 5 business days of quarter NAV computation, base computed before Advisory/Incentive Fee accrual and share transactions.</w:t>
            </w:r>
          </w:p>
          <w:p>
            <w:r>
              <w:t>2.2 Incentive fee terms (extracted-unverified): Incentive Fee: 12.5% of the positive difference between quarterly net profits and the then-balance of the Loss Recovery Account (memorandum account, initial balance zero, increased each quarter by net losses, decreased not below zero by net profits), a fund-level loss-carryforward/high-water mechanism with NO preferred-return hurdle.</w:t>
            </w:r>
          </w:p>
          <w:p>
            <w:r>
              <w:t>2.3 Total expense ratio &amp; waivers (extracted-unverified): FY2026 ratios to average net assets: gross 5.02% I / 5.21% D / 5.85% A, net after waivers 4.99% / 5.18% / 5.82% (include incentive-fee drag 1.60/1.58/1.59% and interest expense, EXCLUDE underlying Portfolio Fund income/expenses).</w:t>
            </w:r>
          </w:p>
          <w:p>
            <w:r>
              <w:t>2.4 AFFE (extracted-unverified): AFFE line in the current (2026) fee table: 1.00% for each class (A/D/I), of net assets.</w:t>
            </w:r>
          </w:p>
          <w:p>
            <w:r>
              <w:t>2.5 Underlying GP economics (extracted-unverified): Printed underlying Portfolio Fund economics (2026 fee-table fn (6)): asset-based management fees generally 1.00% to 2.50%, plus performance compensation of up to 30% of net profits as carried interest, Portfolio Funds 'will generally be subject to a carried interest clawback.' Carry accrues at each Portfolio Fund irrespective of overall Fund performance (netting risk inherent to fund-of-funds).</w:t>
            </w:r>
          </w:p>
          <w:p>
            <w:r>
              <w:t>2.6 Loads &amp; servicing fees (extracted-unverified): Sales load: Class A maximum 3.50% of purchase amount (public offering price = NAV plus up to 3.50% charge), Class D and Class I: none (Class D may face selling-agent/intermediary transaction fees).</w:t>
            </w:r>
          </w:p>
          <w:p>
            <w:r>
              <w:t>2.7 Early repurchase fee (extracted-unverified): 2.00% of NAV early repurchase fee on any repurchase of Shares before the day immediately preceding the one-year anniversary of purchase, FIFO ordering ('first in-first out', SC TO-I), applies to all three classes (fee-table row: 2.00% A/D/I).</w:t>
            </w:r>
          </w:p>
          <w:p>
            <w:r>
              <w:t>2.9 Fee peer percentile (computed): Cohort placement (evergreen private equity cohort): mgmt fee: 50th percentile of cohort (n=5), at the median of 1.4 | expense ratio (bases differ, see notes): 90th percentile of cohort (n=5), above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net assets, the repurchase program is active as of 2026-03-31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net assets. 3.9 structural verdict partial, plan-independent.</w:t>
            </w:r>
          </w:p>
          <w:p>
            <w:r>
              <w:t>3.1 Wrapper liquidity terms (extracted-unverified): Discretionary quarterly tender offers under Rule 13e-4 - NOT an interval fund: the 2026 486BPOS facing sheet checks 'Registered Closed-End Fund' and leaves the 'Interval Fund (...Rule 23c-3...)' box UNCHECKED.</w:t>
            </w:r>
          </w:p>
          <w:p>
            <w:r>
              <w:t>3.2 Repurchase mechanics (extracted-unverified): Q2-2026 offer mechanics (SC TO-I filed 2026-06-01, Rule 13e-4 issuer tender, all three classes): SIZE up to ~5.00% of net assets (~$215,844,245.85 as of 4/30/2026).</w:t>
            </w:r>
          </w:p>
          <w:p>
            <w:r>
              <w:t>3.3 Repurchase history (extracted-unverified): N-CSR Note 7: four repurchase offers conducted in EACH of FY2026 and FY2025 - 6,433,068 Shares repurchased for $244,528,497 (FY2026) vs 2,378,429 Shares for $82,331,350 (FY2025), a ~3x year-over-year jump in dollars.</w:t>
            </w:r>
          </w:p>
          <w:p>
            <w:r>
              <w:t>3.4 Portfolio liquidity profile (extracted-unverified): As of 3/31/2026: net assets $4,123,522,171.</w:t>
            </w:r>
          </w:p>
          <w:p>
            <w:r>
              <w:t>3.6 Fund leverage &amp; facilities (extracted-unverified): Revolving Credit Facility with an 8-lender syndicate (Barclays Bank PLC, UBS AG, Mizuho Bank, Royal Bank of Canada, Mitsubishi UJF Trust and Banking Corporation [as spelled in the filing], Canadian Imperial Bank of Commerce, MUFG Bank, BNP Paribas SA): maximum permitted borrowings $1,700,000,000 (amended six times up from a printed original limit of $1,000,000), maturity March 5, 2027, rate SOFR+2.80% (or SONIA+2.92%) plus usage-dependent commitment fee, secured by assets of subsidiary Ares Landmark Private Markets Fund-D LLC, purpose: working capital/liquidity including warehouse financing of acquisitions.</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NAV frequency MONTHLY: each class as of close of business on the last business day of each calendar month, plus each repurchase date, any distribution date, and other Board-determined dates (each a 'Determination Date'), class NAVs calculated separately.</w:t>
            </w:r>
          </w:p>
          <w:p>
            <w:r>
              <w:t>4.2 Fair-value hierarchy (L1/2/3) (extracted-unverified): ASC 820-10 hierarchy at 3/31/2026: Level 1 $78,702,565 (all Short-Term Investments), Level 2 $0, Level 3 $194,007,718 (Direct Investments/Co-Investments $11,328,814 + Secondary Investments $182,678,904), total investments IN the hierarchy $272,710,283.</w:t>
            </w:r>
          </w:p>
          <w:p>
            <w:r>
              <w:t>4.3 Independent valuation agent (extracted-unverified): An independent third-party valuation service IS engaged, but its printed scope is narrow: it reviews 'the application of the market adjustment factor and certain idiosyncratic valuation adjustments', it does not independently value the holdings, and the firm is NOT NAMED anywhere on disk (searched all four documents for Houlihan/Duff/Kroll/Lincoln International/Murray Devine/Valuation Research/Alvarez/Stout: zero hits, 2026-08-15).</w:t>
            </w:r>
          </w:p>
          <w:p>
            <w:r>
              <w:t>4.4 Methodology by asset type (extracted-unverified): By asset type: (1) PORTFOLIO FUNDS (Secondary + Primary, ~123% of net assets), NAV practical expedient on latest manager/GP-reported NAV, adjusted for capital activity/events, (2) DIRECT/CO-INVESTMENTS and other Level 3 - EV analysis (market multiples applied to EBITDA or revenue from comparable transactions/companies, or DCF at market-consistent discount rates) plus yield analysis for non-control debt, (3) overlay: proprietary MAC-event market adjustment factor triggered by &gt;10% S&amp;P 500 monthly moves, plus idiosyncratic adjustments (IPO, bankruptcy, M&amp;A), (4) LIQUID ASSETS, independent third-party pricing services/broker quotes, exchange securities at last sale, &lt;=60-day paper at amortized cost, money funds at NAV.</w:t>
            </w:r>
          </w:p>
          <w:p>
            <w:r>
              <w:t>4.5 Auditor &amp; opinion (extracted-unverified): Ernst &amp; Young LLP (Big-4).</w:t>
            </w:r>
          </w:p>
          <w:p>
            <w:r>
              <w:t>4.6 NAV restatement history (extracted-unverified): None identified: searched all four on-disk Ares Private Markets Fund documents (N-CSR filed 2026-06-04, 486BPOS 2026-07-29, SC TO-I 2026-06-01, 424B3 2026-06-04) for 'restat' / 'error correction' / 'reprocess' on 2026-08-15, zero NAV-restatement or error-correction hits.</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Broad-based comparison index in the FY2026 shareholder report: MSCI World Index, printed as a row in the Average Annual Total Returns table (1yr 18.90% / 3yr 16.77% / 10.28% since 4/1/2022, footnoted that 4/1/2022 is not the index's inception) and as the comparator in the $1,000,000 Class I growth chart ('a free float-adjusted market capitalization weighted index... 23 developed market country indices').</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2022-04-01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Legal form: Delaware statutory trust (organized 7/28/2021), registered closed-end, non-diversified management investment company, RIC under Subchapter M with tax year end September 30 (fiscal year end March 31).</w:t>
            </w:r>
          </w:p>
          <w:p>
            <w:r>
              <w:t>6.2 Strategy &amp; instrument complexity (extracted-unverified): Secondaries-led evergreen private equity fund of funds.</w:t>
            </w:r>
          </w:p>
          <w:p>
            <w:r>
              <w:t>6.3 Conflicts &amp; affiliated transactions (extracted-unverified): 486BPOS POTENTIAL CONFLICTS OF INTEREST section: Adviser is a fiduciary, but purchasing Shares deems each shareholder to have acknowledged and WAIVED claims on disclosed actual/potential conflicts, overlapping Other Managed Accounts may reduce opportunities, time-allocation conflicts.</w:t>
            </w:r>
          </w:p>
          <w:p>
            <w:r>
              <w:t>6.4 Tax reporting (1099 vs K-1) (extracted-unverified): Form 1099-DIV: each year a statement identifying the amount and character (ordinary income, qualified dividend income, long-term capital gain) of distributions is mailed to shareholders (Fund is a RIC under Subchapter M, tax year end Sept 30).</w:t>
            </w:r>
          </w:p>
          <w:p>
            <w:r>
              <w:t>6.5 Service-provider web (extracted-unverified): Per FY2026 N-CSR Note 4 and SC TO-I: Investment Adviser, Ares Capital Management II LLC, 245 Park Avenue, 44th Floor, New York, NY (wholly owned subsidiary of Ares Management Corporation).</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12.5%</w:t>
            </w:r>
          </w:p>
        </w:tc>
        <w:tc>
          <w:tcPr>
            <w:tcW w:type="dxa" w:w="2880"/>
          </w:tcPr>
          <w:p>
            <w:r>
              <w:t>extracted-unverified</w:t>
            </w:r>
          </w:p>
        </w:tc>
      </w:tr>
      <w:tr>
        <w:trPr>
          <w:cantSplit/>
        </w:trPr>
        <w:tc>
          <w:tcPr>
            <w:tcW w:type="dxa" w:w="2880"/>
          </w:tcPr>
          <w:p>
            <w:r>
              <w:t>2.3 Total expense ratio &amp; waivers</w:t>
            </w:r>
          </w:p>
        </w:tc>
        <w:tc>
          <w:tcPr>
            <w:tcW w:type="dxa" w:w="3600"/>
          </w:tcPr>
          <w:p>
            <w:r>
              <w:t>5.02% expense ratio, gross, before a 0.03% waiver, including the 1.60% incentive-fee drag, AFFE excluded (FY2026, Class I)</w:t>
            </w:r>
          </w:p>
        </w:tc>
        <w:tc>
          <w:tcPr>
            <w:tcW w:type="dxa" w:w="2880"/>
          </w:tcPr>
          <w:p>
            <w:r>
              <w:t>extracted-unverified</w:t>
            </w:r>
          </w:p>
        </w:tc>
      </w:tr>
      <w:tr>
        <w:trPr>
          <w:cantSplit/>
        </w:trPr>
        <w:tc>
          <w:tcPr>
            <w:tcW w:type="dxa" w:w="2880"/>
          </w:tcPr>
          <w:p>
            <w:r>
              <w:t>2.4 AFFE</w:t>
            </w:r>
          </w:p>
        </w:tc>
        <w:tc>
          <w:tcPr>
            <w:tcW w:type="dxa" w:w="3600"/>
          </w:tcPr>
          <w:p>
            <w:r>
              <w:t>AFFE 1.00%</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1.5712, Direct Alpha 11.97%/yr, 2022-04-01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1.1283, Direct Alpha 3.07%/yr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1.0918, annualized excess return 2.22%/yr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5b383023. Rubric v3.1. The full record hash is 5b38302348a776c67692d90414e1c29678a70fa971d3c43feda1c256d9c3a01a.</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2022-04-01 to 2026-03-31: fund 13.89%/yr (filed fiscal-year returns) vs the public series 1.72%/yr, KS-PME 1.5712, Direct Alpha 11.97%/yr.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2022-04-01 to 2026-03-31: fund 13.89%/yr (filed fiscal-year returns) vs MSCI World Index 10.5%/yr, KS-PME 1.1283, Direct Alpha 3.07%/yr.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broad-based comparison index of the shareholder report's required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AMG Pantheon Fund, LLC. This is the history of similar investments, not the benchmark, and it is never a public market equivalent.</w:t>
      </w:r>
    </w:p>
    <w:p>
      <w:r>
        <w:t>Window FY2023 to FY2026 (years to 03-31) (4 fiscal-year periods, n=3 peers in every period): fund 13.88%/yr (filed fiscal-year returns) vs the peer composite 11.41%/yr, relative wealth ratio 1.0918, annualized excess return 2.22%/yr.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AMG Pantheon Fund, LLC: filed fiscal-year returns. Excluded from the composite: KKR Private Equity Conglomerate LLC reports calendar years. Ares Private Markets Fund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Ares Private Markets Fund</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n/a</w:t>
            </w:r>
          </w:p>
        </w:tc>
        <w:tc>
          <w:tcPr>
            <w:tcW w:type="dxa" w:w="1498"/>
          </w:tcPr>
          <w:p>
            <w:r>
              <w:t>20.77%</w:t>
            </w:r>
          </w:p>
        </w:tc>
        <w:tc>
          <w:tcPr>
            <w:tcW w:type="dxa" w:w="1498"/>
          </w:tcPr>
          <w:p>
            <w:r>
              <w:t>29.43%</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9.27%</w:t>
            </w:r>
          </w:p>
        </w:tc>
        <w:tc>
          <w:tcPr>
            <w:tcW w:type="dxa" w:w="1498"/>
          </w:tcPr>
          <w:p>
            <w:r>
              <w:t>16.1%</w:t>
            </w:r>
          </w:p>
        </w:tc>
        <w:tc>
          <w:tcPr>
            <w:tcW w:type="dxa" w:w="1498"/>
          </w:tcPr>
          <w:p>
            <w:r>
              <w:t>8.23%</w:t>
            </w:r>
          </w:p>
        </w:tc>
        <w:tc>
          <w:tcPr>
            <w:tcW w:type="dxa" w:w="1498"/>
          </w:tcPr>
          <w:p>
            <w:r>
              <w:t>n/a</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17.1%</w:t>
            </w:r>
          </w:p>
        </w:tc>
        <w:tc>
          <w:tcPr>
            <w:tcW w:type="dxa" w:w="1498"/>
          </w:tcPr>
          <w:p>
            <w:r>
              <w:t>12.68%</w:t>
            </w:r>
          </w:p>
        </w:tc>
        <w:tc>
          <w:tcPr>
            <w:tcW w:type="dxa" w:w="1498"/>
          </w:tcPr>
          <w:p>
            <w:r>
              <w:t>13.79%</w:t>
            </w:r>
          </w:p>
        </w:tc>
        <w:tc>
          <w:tcPr>
            <w:tcW w:type="dxa" w:w="1498"/>
          </w:tcPr>
          <w:p>
            <w:r>
              <w:t>n/a</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19.95%</w:t>
            </w:r>
          </w:p>
        </w:tc>
        <w:tc>
          <w:tcPr>
            <w:tcW w:type="dxa" w:w="1498"/>
          </w:tcPr>
          <w:p>
            <w:r>
              <w:t>12.59%</w:t>
            </w:r>
          </w:p>
        </w:tc>
        <w:tc>
          <w:tcPr>
            <w:tcW w:type="dxa" w:w="1498"/>
          </w:tcPr>
          <w:p>
            <w:r>
              <w:t>10.76%</w:t>
            </w:r>
          </w:p>
        </w:tc>
        <w:tc>
          <w:tcPr>
            <w:tcW w:type="dxa" w:w="1498"/>
          </w:tcPr>
          <w:p>
            <w:r>
              <w:t>n/a</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9.58%</w:t>
            </w:r>
          </w:p>
        </w:tc>
        <w:tc>
          <w:tcPr>
            <w:tcW w:type="dxa" w:w="1498"/>
          </w:tcPr>
          <w:p>
            <w:r>
              <w:t>14.6%</w:t>
            </w:r>
          </w:p>
        </w:tc>
        <w:tc>
          <w:tcPr>
            <w:tcW w:type="dxa" w:w="1498"/>
          </w:tcPr>
          <w:p>
            <w:r>
              <w:t>10.47%</w:t>
            </w:r>
          </w:p>
        </w:tc>
        <w:tc>
          <w:tcPr>
            <w:tcW w:type="dxa" w:w="1498"/>
          </w:tcPr>
          <w:p>
            <w:r>
              <w:t>n/a</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gating history (tendered-versus-accepted amounts and proration incidence per offer are not printed (final tender amendments not on disk). Four offers in each of FY2025 and FY2026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net assets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tendered-versus-accepted amounts and proration incidence per offer are not printed (final tender amendments not on disk). Four offers in each of FY2025 and FY2026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net assets (3.1), quarterly offers (3.1), program active as of 2026-03-31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Secondaries-led evergreen PE tender-offer fund, wrapper and strategy twin of Hamilton Lane Private Assets Fund and StepStone Private Markets.</w:t>
      </w:r>
    </w:p>
    <w:p>
      <w:r>
        <w:t>Cohort placement (evergreen private equity cohort): mgmt fee: 50th percentile of cohort (n=5), at the median of 1.4 | expense ratio (bases differ, see notes): 90th percentile of cohort (n=5), above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28, verified 0, computed 11, partial 2, fetched 1, n/a 13, pending 0. 39 of 42 resolved: 28 evidenced, 11 computed, 3 partial, 13 n/a, 0 verified by a person.</w:t>
      </w:r>
    </w:p>
    <w:p>
      <w:r>
        <w:t>Of the 39 resolved cells (structured, extracted-unverified, verified and computed), 39 carry a source document, 39 a section, 28 a verbatim quote (computed cells carry their computation and inputs instead of a quote) and 39 an extractor. 3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2026-06-01</w:t>
            </w:r>
          </w:p>
        </w:tc>
        <w:tc>
          <w:tcPr>
            <w:tcW w:type="dxa" w:w="4896"/>
          </w:tcPr>
          <w:p>
            <w:r>
              <w:t>accession 0001104659-26-068976</w:t>
            </w:r>
          </w:p>
          <w:p>
            <w:r>
              <w:t>https://www.sec.gov/Archives/edgar/data/1876006/000110465926068976/tm2616081d1_sctoi.htm</w:t>
            </w:r>
          </w:p>
        </w:tc>
        <w:tc>
          <w:tcPr>
            <w:tcW w:type="dxa" w:w="2592"/>
          </w:tcPr>
          <w:p>
            <w:r>
              <w:t>4.3 (cited as all filings held for the product, 4 held)</w:t>
            </w:r>
          </w:p>
        </w:tc>
      </w:tr>
      <w:tr>
        <w:trPr>
          <w:cantSplit/>
        </w:trPr>
        <w:tc>
          <w:tcPr>
            <w:tcW w:type="dxa" w:w="1872"/>
          </w:tcPr>
          <w:p>
            <w:r>
              <w:t>SC TO-I 2026-06-01</w:t>
            </w:r>
          </w:p>
        </w:tc>
        <w:tc>
          <w:tcPr>
            <w:tcW w:type="dxa" w:w="4896"/>
          </w:tcPr>
          <w:p>
            <w:r>
              <w:t>accession 0001104659-26-068976</w:t>
            </w:r>
          </w:p>
          <w:p>
            <w:r>
              <w:t>https://www.sec.gov/Archives/edgar/data/1876006/000110465926068976/tm2616081d1_sctoi.htm</w:t>
            </w:r>
          </w:p>
        </w:tc>
        <w:tc>
          <w:tcPr>
            <w:tcW w:type="dxa" w:w="2592"/>
          </w:tcPr>
          <w:p>
            <w:r>
              <w:t>1.1, 2.7, 3.1, 3.2, 6.5</w:t>
            </w:r>
          </w:p>
        </w:tc>
      </w:tr>
      <w:tr>
        <w:trPr>
          <w:cantSplit/>
        </w:trPr>
        <w:tc>
          <w:tcPr>
            <w:tcW w:type="dxa" w:w="1872"/>
          </w:tcPr>
          <w:p>
            <w:r>
              <w:t>* 2026-06-04</w:t>
            </w:r>
          </w:p>
        </w:tc>
        <w:tc>
          <w:tcPr>
            <w:tcW w:type="dxa" w:w="4896"/>
          </w:tcPr>
          <w:p>
            <w:r>
              <w:t>accession 0001104659-26-070502</w:t>
            </w:r>
          </w:p>
          <w:p>
            <w:r>
              <w:t>https://www.sec.gov/Archives/edgar/data/1876006/000110465926070502/tm2616743d1_424b3.htm</w:t>
            </w:r>
          </w:p>
        </w:tc>
        <w:tc>
          <w:tcPr>
            <w:tcW w:type="dxa" w:w="2592"/>
          </w:tcPr>
          <w:p>
            <w:r>
              <w:t>4.3 (cited as all filings held for the product, 4 held)</w:t>
            </w:r>
          </w:p>
        </w:tc>
      </w:tr>
      <w:tr>
        <w:trPr>
          <w:cantSplit/>
        </w:trPr>
        <w:tc>
          <w:tcPr>
            <w:tcW w:type="dxa" w:w="1872"/>
          </w:tcPr>
          <w:p>
            <w:r>
              <w:t>* 2026-06-04</w:t>
            </w:r>
          </w:p>
        </w:tc>
        <w:tc>
          <w:tcPr>
            <w:tcW w:type="dxa" w:w="4896"/>
          </w:tcPr>
          <w:p>
            <w:r>
              <w:t>accession 0001104659-26-070470</w:t>
            </w:r>
          </w:p>
          <w:p>
            <w:r>
              <w:t>https://www.sec.gov/Archives/edgar/data/1876006/000110465926070470/tm2616630d1_ncsr.htm</w:t>
            </w:r>
          </w:p>
        </w:tc>
        <w:tc>
          <w:tcPr>
            <w:tcW w:type="dxa" w:w="2592"/>
          </w:tcPr>
          <w:p>
            <w:r>
              <w:t>4.3 (cited as all filings held for the product, 4 held)</w:t>
            </w:r>
          </w:p>
        </w:tc>
      </w:tr>
      <w:tr>
        <w:trPr>
          <w:cantSplit/>
        </w:trPr>
        <w:tc>
          <w:tcPr>
            <w:tcW w:type="dxa" w:w="1872"/>
          </w:tcPr>
          <w:p>
            <w:r>
              <w:t>424B3 2026-06-04</w:t>
            </w:r>
          </w:p>
        </w:tc>
        <w:tc>
          <w:tcPr>
            <w:tcW w:type="dxa" w:w="4896"/>
          </w:tcPr>
          <w:p>
            <w:r>
              <w:t>accession 0001104659-26-070502</w:t>
            </w:r>
          </w:p>
          <w:p>
            <w:r>
              <w:t>https://www.sec.gov/Archives/edgar/data/1876006/000110465926070502/tm2616743d1_424b3.htm</w:t>
            </w:r>
          </w:p>
        </w:tc>
        <w:tc>
          <w:tcPr>
            <w:tcW w:type="dxa" w:w="2592"/>
          </w:tcPr>
          <w:p>
            <w:r>
              <w:t>1.11</w:t>
            </w:r>
          </w:p>
        </w:tc>
      </w:tr>
      <w:tr>
        <w:trPr>
          <w:cantSplit/>
        </w:trPr>
        <w:tc>
          <w:tcPr>
            <w:tcW w:type="dxa" w:w="1872"/>
          </w:tcPr>
          <w:p>
            <w:r>
              <w:t>N-CSR 2026-06-04</w:t>
            </w:r>
          </w:p>
        </w:tc>
        <w:tc>
          <w:tcPr>
            <w:tcW w:type="dxa" w:w="4896"/>
          </w:tcPr>
          <w:p>
            <w:r>
              <w:t>accession 0001104659-26-070470</w:t>
            </w:r>
          </w:p>
          <w:p>
            <w:r>
              <w:t>https://www.sec.gov/Archives/edgar/data/1876006/000110465926070470/tm2616630d1_ncsr.htm</w:t>
            </w:r>
          </w:p>
        </w:tc>
        <w:tc>
          <w:tcPr>
            <w:tcW w:type="dxa" w:w="2592"/>
          </w:tcPr>
          <w:p>
            <w:r>
              <w:t>1.1, 1.2, 1.3, 1.4, 1.11, 2.1, 2.2, 2.3, 2.6, 2.7, 3.1, 3.3, 3.4, 3.6, 4.1, 4.2, 4.4, 4.5, 4.6, 5.1, 6.1, 6.2, 6.3, 6.4, 6.5</w:t>
            </w:r>
          </w:p>
        </w:tc>
      </w:tr>
      <w:tr>
        <w:trPr>
          <w:cantSplit/>
        </w:trPr>
        <w:tc>
          <w:tcPr>
            <w:tcW w:type="dxa" w:w="1872"/>
          </w:tcPr>
          <w:p>
            <w:r>
              <w:t>* 2026-07-29</w:t>
            </w:r>
          </w:p>
        </w:tc>
        <w:tc>
          <w:tcPr>
            <w:tcW w:type="dxa" w:w="4896"/>
          </w:tcPr>
          <w:p>
            <w:r>
              <w:t>accession 0001104659-26-088219</w:t>
            </w:r>
          </w:p>
          <w:p>
            <w:r>
              <w:t>https://www.sec.gov/Archives/edgar/data/1876006/000110465926088219/tm2621209d1_486bpos.htm</w:t>
            </w:r>
          </w:p>
        </w:tc>
        <w:tc>
          <w:tcPr>
            <w:tcW w:type="dxa" w:w="2592"/>
          </w:tcPr>
          <w:p>
            <w:r>
              <w:t>4.3 (cited as all filings held for the product, 4 held)</w:t>
            </w:r>
          </w:p>
        </w:tc>
      </w:tr>
      <w:tr>
        <w:trPr>
          <w:cantSplit/>
        </w:trPr>
        <w:tc>
          <w:tcPr>
            <w:tcW w:type="dxa" w:w="1872"/>
          </w:tcPr>
          <w:p>
            <w:r>
              <w:t>486BPOS 2026-07-29</w:t>
            </w:r>
          </w:p>
        </w:tc>
        <w:tc>
          <w:tcPr>
            <w:tcW w:type="dxa" w:w="4896"/>
          </w:tcPr>
          <w:p>
            <w:r>
              <w:t>accession 0001104659-26-088219</w:t>
            </w:r>
          </w:p>
          <w:p>
            <w:r>
              <w:t>https://www.sec.gov/Archives/edgar/data/1876006/000110465926088219/tm2621209d1_486bpos.htm</w:t>
            </w:r>
          </w:p>
        </w:tc>
        <w:tc>
          <w:tcPr>
            <w:tcW w:type="dxa" w:w="2592"/>
          </w:tcPr>
          <w:p>
            <w:r>
              <w:t>1.11, 2.1, 2.2, 2.3, 2.4, 2.5, 2.6, 2.7, 3.1, 3.6, 4.1, 4.3, 4.4, 4.5, 6.1, 6.2, 6.3, 6.4, 6.5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Ares Private Markets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Ares Private Markets Fund for US media/technology company 401(k) plan (~$570M, New York)</dc:title>
  <dc:subject>Fiduciary Duties in Selecting Designated Investment Alternatives, 91 FR 16088 (Mar. 31, 2026), RIN 1210-AC38, proposed 29 CFR 2550.404a-6, paragraphs (g) to (l)</dc:subject>
  <dc:creator>Tark</dc:creator>
  <cp:keywords>ares_pmf,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