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KKR Private Equity Conglomerate LLC (non-traded '34 Act reporting company, CIK 1957845).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Cambridge Associates US PE benchmark at 8 of 10, cited, series not in the record. Meaningful benchmark by descriptor. No comparison until its series is held. Peer comparison (paragraphs (g) and (h)):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p>
      <w:r>
        <w:t>Reference comparison, not the meaningful benchmark: Listed private equity investable proxy (PSP), KS-PME 1.0387, Direct Alpha 1.91%/yr over 2023-12-31 to 2025-12-31.</w:t>
      </w:r>
    </w:p>
    <w:p>
      <w:r>
        <w:t>Evidence coverage: 36 of 41 resolved: 26 evidenced, 10 computed, 5 partial, 14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2-year window, shorter than 3 years (benchmark comparison)</w:t>
      </w:r>
    </w:p>
    <w:p>
      <w:pPr>
        <w:pStyle w:val="ListBullet"/>
      </w:pPr>
      <w:r>
        <w:t>Peer comparison: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(cell 1.12)</w:t>
      </w:r>
    </w:p>
    <w:p>
      <w:pPr>
        <w:pStyle w:val="ListBullet"/>
      </w:pPr>
      <w:r>
        <w:t>Liquidity: structural verdict partial, facts missing: gating history (cells 3.1, 3.3)</w:t>
      </w:r>
    </w:p>
    <w:p>
      <w:pPr>
        <w:pStyle w:val="ListBullet"/>
      </w:pPr>
      <w:r>
        <w:t>Tax reporting: Schedule K-1 (cell 6.4)</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2.4 years of history since 2023-08-01 (cell 1.11), net assets of approx. $9.5B (cell 3.3) and a KS-PME of 1.0387 against PSP (cell 1.8).</w:t>
            </w:r>
          </w:p>
          <w:p>
            <w:r>
              <w:t>Facts on record: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8 of 10.</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stress-window performance cannot exist for this vehicle. 1.10 not exchange-listed.</w:t>
            </w:r>
          </w:p>
        </w:tc>
      </w:tr>
      <w:tr>
        <w:trPr>
          <w:cantSplit/>
        </w:trPr>
        <w:tc>
          <w:tcPr>
            <w:tcW w:type="dxa" w:w="1728"/>
          </w:tcPr>
          <w:p>
            <w:r>
              <w:t>2. Fees (h)</w:t>
            </w:r>
          </w:p>
        </w:tc>
        <w:tc>
          <w:tcPr>
            <w:tcW w:type="dxa" w:w="7632"/>
          </w:tcPr>
          <w:p>
            <w:r>
              <w:t>On fees and expenses (h), the management fee is 1.25% on NAV (cell 2.1), the incentive fee is 15% / 5% hurdle (cell 2.2), the expense ratio is 3.19% (GAAP total operating expenses including the 2.75% performance participation, not a 1940-Act ratio (FY2025, Class I)) (cell 1.3) and the early repurchase fee is 5% &lt; 24 months (cell 2.7).</w:t>
            </w:r>
          </w:p>
          <w:p>
            <w:r>
              <w:t>Facts on record: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expiry is itself an evaluative datum.</w:t>
            </w:r>
          </w:p>
          <w:p>
            <w:r>
              <w:t>2.4 AFFE (partial): PARTIAL: No 'Acquired Fund Fees and Expenses' line exists,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aggregate NAV, the repurchase program is active as of 2025-12-31 (cell 3.1), the plan's filed outflow proxy is 11.5% of the position per year (the plan record) and the structural verdict is partial with the scenario verdict conditional under this plan (ILLUSTRATIVE, cell 3.9).</w:t>
            </w:r>
          </w:p>
          <w:p>
            <w:r>
              <w:t>Facts on record: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Share Repurchases): 247,476 Class R-I @ $31.84 avg, 576,591 Class R-U @ $30.97, 12,620 Class U @ $31.77, 12,369 Class I @ $32.64, 819 Class D @ $32.57, 20,516 Class R-D @ $32.57.</w:t>
            </w:r>
          </w:p>
          <w:p>
            <w:r>
              <w:t>3.4 Portfolio liquidity profile (extracted-unverified): As of 12/31/2025 ($ thousands): fair value hierarchy,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'The Manager determines the NAV of our Shares monthly' (Manager = KKR DAV Manager LLC).</w:t>
            </w:r>
          </w:p>
          <w:p>
            <w:r>
              <w:t>4.2 Fair-value hierarchy (L1/2/3) (extracted-unverified): Fair value hierarchy at 12/31/2025 ($ thousands, Note 4): Portfolio companies, Level I $23,278 / Level II $0 / Level III $8,980,760 / NAV practical expedient $5,411 = $9,009,449 total, FX-forward unrealized appreciation, Level II $27,607, FX-forward unrealized depreciation, Level II $(5,177), Money market funds,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10-K (FY2025, filed 2026-03-26) and 10-Q (Q1 2026, filed 2026-05-13),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LLC ('34 Act) (cell 6.1), tax reporting is Schedule K-1 (cell 6.4) and cells 6.6 and 6.8 are advisor-completed under paragraph (l).</w:t>
            </w:r>
          </w:p>
          <w:p>
            <w:r>
              <w:t>Facts on record: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the word 'exemptive' has zero hits) and so it qualifies as a partnership for U.S. federal income tax purposes.</w:t>
            </w:r>
          </w:p>
          <w:p>
            <w:r>
              <w:t>6.2 Strategy &amp; instrument complexity (extracted-unverified): Strategy: private equity conglomerate,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15% / 5%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partial</w:t>
            </w:r>
          </w:p>
        </w:tc>
      </w:tr>
      <w:tr>
        <w:trPr>
          <w:cantSplit/>
        </w:trPr>
        <w:tc>
          <w:tcPr>
            <w:tcW w:type="dxa" w:w="2880"/>
          </w:tcPr>
          <w:p>
            <w:r>
              <w:t>2.4 AFFE</w:t>
            </w:r>
          </w:p>
        </w:tc>
        <w:tc>
          <w:tcPr>
            <w:tcW w:type="dxa" w:w="3600"/>
          </w:tcPr>
          <w:p>
            <w:r>
              <w:t>no fact on record for this cell</w:t>
            </w:r>
          </w:p>
        </w:tc>
        <w:tc>
          <w:tcPr>
            <w:tcW w:type="dxa" w:w="2880"/>
          </w:tcPr>
          <w:p>
            <w:r>
              <w:t>partial</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24 months</w:t>
            </w:r>
          </w:p>
        </w:tc>
        <w:tc>
          <w:tcPr>
            <w:tcW w:type="dxa" w:w="2880"/>
          </w:tcPr>
          <w:p>
            <w:r>
              <w:t>extracted-unverified</w:t>
            </w:r>
          </w:p>
        </w:tc>
      </w:tr>
      <w:tr>
        <w:trPr>
          <w:cantSplit/>
        </w:trPr>
        <w:tc>
          <w:tcPr>
            <w:tcW w:type="dxa" w:w="2880"/>
          </w:tcPr>
          <w:p>
            <w:r>
              <w:t>6.4 Tax reporting (1099 vs K-1)</w:t>
            </w:r>
          </w:p>
        </w:tc>
        <w:tc>
          <w:tcPr>
            <w:tcW w:type="dxa" w:w="3600"/>
          </w:tcPr>
          <w:p>
            <w:r>
              <w:t>Schedule K-1</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1.0387, Direct Alpha 1.91%/yr, 2023-12-31 to 2025-12-31</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cb786e22. Rubric v3.1. The full record hash is cb786e22008866f5a78f21d76211a9129af0853d954cc65ad895ecf6275dab66.</w:t>
      </w:r>
    </w:p>
    <w:p>
      <w:pPr>
        <w:pStyle w:val="ListBullet"/>
      </w:pPr>
      <w:r>
        <w:t>Strategy match 3 of 3: a private-market index of private equity for a private equity conglomerate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of a self-declared performance benchmark.</w:t>
      </w:r>
    </w:p>
    <w:p>
      <w:pPr>
        <w:pStyle w:val="Heading2"/>
        <w:keepNext/>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pPr>
        <w:keepNext/>
      </w:pPr>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The side-by-side table is shown without a ratio.</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KKR Private Equity Conglomerate LLC</w:t>
            </w:r>
          </w:p>
        </w:tc>
        <w:tc>
          <w:tcPr>
            <w:tcW w:type="dxa" w:w="1498"/>
          </w:tcPr>
          <w:p>
            <w:r>
              <w:t>Hamilton Lane Private Assets Fund</w:t>
            </w:r>
          </w:p>
        </w:tc>
        <w:tc>
          <w:tcPr>
            <w:tcW w:type="dxa" w:w="1498"/>
          </w:tcPr>
          <w:p>
            <w:r>
              <w:t>StepStone Private Markets</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n/a</w:t>
            </w:r>
          </w:p>
        </w:tc>
        <w:tc>
          <w:tcPr>
            <w:tcW w:type="dxa" w:w="1498"/>
          </w:tcPr>
          <w:p>
            <w:r>
              <w:t>16.1%</w:t>
            </w:r>
          </w:p>
        </w:tc>
        <w:tc>
          <w:tcPr>
            <w:tcW w:type="dxa" w:w="1498"/>
          </w:tcPr>
          <w:p>
            <w:r>
              <w:t>8.23%</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n/a</w:t>
            </w:r>
          </w:p>
        </w:tc>
        <w:tc>
          <w:tcPr>
            <w:tcW w:type="dxa" w:w="1498"/>
          </w:tcPr>
          <w:p>
            <w:r>
              <w:t>12.68%</w:t>
            </w:r>
          </w:p>
        </w:tc>
        <w:tc>
          <w:tcPr>
            <w:tcW w:type="dxa" w:w="1498"/>
          </w:tcPr>
          <w:p>
            <w:r>
              <w:t>13.79%</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11.82%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n/a</w:t>
            </w:r>
          </w:p>
        </w:tc>
        <w:tc>
          <w:tcPr>
            <w:tcW w:type="dxa" w:w="1498"/>
          </w:tcPr>
          <w:p>
            <w:r>
              <w:t>12.59%</w:t>
            </w:r>
          </w:p>
        </w:tc>
        <w:tc>
          <w:tcPr>
            <w:tcW w:type="dxa" w:w="1498"/>
          </w:tcPr>
          <w:p>
            <w:r>
              <w:t>10.76%</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16.14%</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n/a</w:t>
            </w:r>
          </w:p>
        </w:tc>
        <w:tc>
          <w:tcPr>
            <w:tcW w:type="dxa" w:w="1498"/>
          </w:tcPr>
          <w:p>
            <w:r>
              <w:t>14.6%</w:t>
            </w:r>
          </w:p>
        </w:tc>
        <w:tc>
          <w:tcPr>
            <w:tcW w:type="dxa" w:w="1498"/>
          </w:tcPr>
          <w:p>
            <w:r>
              <w:t>10.47%</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Facts missing for a structural verdict: gating history (shares requested versus repurchased: the 10-K prints repurchases by class and discloses no proration, deferral or unsatisfied-request event for 2024-2025, but the requested amounts are not printed, so a clean False would overclaim (the completed-tender rule)). The verdict stays partial until they are read from the filings.</w:t>
      </w:r>
    </w:p>
    <w:p>
      <w:pPr>
        <w:pStyle w:val="ListBullet"/>
        <w:keepNext/>
      </w:pPr>
      <w:r>
        <w:t>Early repurchase economics: 5% if held &lt; 24 months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LLC ('34 Act)</w:t>
            </w:r>
          </w:p>
        </w:tc>
        <w:tc>
          <w:tcPr>
            <w:tcW w:type="dxa" w:w="1152"/>
          </w:tcPr>
          <w:p>
            <w:r>
              <w:t>6.1</w:t>
            </w:r>
          </w:p>
        </w:tc>
      </w:tr>
      <w:tr>
        <w:trPr>
          <w:cantSplit/>
        </w:trPr>
        <w:tc>
          <w:tcPr>
            <w:tcW w:type="dxa" w:w="2448"/>
          </w:tcPr>
          <w:p>
            <w:r>
              <w:t>Dealing terms</w:t>
            </w:r>
          </w:p>
        </w:tc>
        <w:tc>
          <w:tcPr>
            <w:tcW w:type="dxa" w:w="5760"/>
          </w:tcPr>
          <w:p>
            <w:r>
              <w:t>quarterly offers, 5% cap per quarter on aggregate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shares requested versus repurchased: the 10-K prints repurchases by class and discloses no proration, deferral or unsatisfied-request event for 2024-2025, but the requested amounts are not printed, so a clean False would overclaim (the completed-tender rule)</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5% if held &lt; 24 months (2.7)</w:t>
            </w:r>
          </w:p>
        </w:tc>
        <w:tc>
          <w:tcPr>
            <w:tcW w:type="dxa" w:w="1152"/>
          </w:tcPr>
          <w:p>
            <w:r>
              <w:t>2.7</w:t>
            </w:r>
          </w:p>
        </w:tc>
      </w:tr>
      <w:tr>
        <w:trPr>
          <w:cantSplit/>
        </w:trPr>
        <w:tc>
          <w:tcPr>
            <w:tcW w:type="dxa" w:w="2448"/>
          </w:tcPr>
          <w:p>
            <w:r>
              <w:t>Fund net assets (for the dollar capacity)</w:t>
            </w:r>
          </w:p>
        </w:tc>
        <w:tc>
          <w:tcPr>
            <w:tcW w:type="dxa" w:w="5760"/>
          </w:tcPr>
          <w:p>
            <w:r>
              <w:t>approx. $9.5B</w:t>
            </w:r>
          </w:p>
        </w:tc>
        <w:tc>
          <w:tcPr>
            <w:tcW w:type="dxa" w:w="1152"/>
          </w:tcPr>
          <w:p>
            <w:r>
              <w:t>3.3</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$1.9B per year (20% of approx. $9.5B net assets, cell 3.3). The plan's demand at the filed rate is $4.6M per year, 0.24% of that capacity, a claim shared with every other holder.</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Fund capacity in dollars: 20% of approx. $9.5B net assets (cell 3.3) is $1.9B per year. At a 5% allocation ($39.6M) the plan's demand at the filed rate is $4.6M per year, 0.24%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11.5% and the stressed demand 16.6% of the position per year both stay within the annual wrapper capacity 20% (binding cap 5% per quarter on aggregate NAV (3.1), quarterly offers (3.1), program active as of 2025-12-31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4, fetched 1, n/a 14, pending 0. 36 of 41 resolved: 26 evidenced, 10 computed, 5 partial, 14 n/a, 0 verified by a person.</w:t>
      </w:r>
    </w:p>
    <w:p>
      <w:r>
        <w:t>Of the 36 resolved cells (structured, extracted-unverified, verified and computed), 36 carry a source document, 36 a section, 26 a verbatim quote (computed cells carry their computation and inputs instead of a quote) and 36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0001957845-26-000029</w:t>
            </w:r>
          </w:p>
          <w:p>
            <w:r>
              <w:t>https://www.sec.gov/Archives/edgar/data/1957845/000195784526000029/kkr-20251231.htm</w:t>
            </w:r>
          </w:p>
        </w:tc>
        <w:tc>
          <w:tcPr>
            <w:tcW w:type="dxa" w:w="2592"/>
          </w:tcPr>
          <w:p>
            <w:r>
              <w:t>1.1, 1.2, 1.3, 1.4, 1.11, 2.1, 2.2, 2.3, 2.4, 2.5, 2.6, 2.7, 3.1, 3.2, 3.3, 3.4, 3.6, 4.1, 4.2, 4.3, 4.4, 4.5, 4.6, 5.1, 6.1, 6.2, 6.3, 6.4, 6.5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KKR Private Equity Conglomerate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KKR Private Equity Conglomerate LLC for US industrial manufacturer 401(k) plan (~$0.8B, OH)</dc:title>
  <dc:subject>Fiduciary Duties in Selecting Designated Investment Alternatives, 91 FR 16088 (Mar. 31, 2026), RIN 1210-AC38, proposed 29 CFR 2550.404a-6, paragraphs (g) to (l)</dc:subject>
  <dc:creator>Tark</dc:creator>
  <cp:keywords>kkr_kpec,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