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Destiny Tech100 Inc (listed closed-end fund (NYSE: DXYZ), CIK 1843974).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US casual-dining restaurant group 401(k) plan (~$1.6B, FL)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Destiny Tech100 Inc out (2: Neostellar Capital Corp., ARK Venture Fund).</w:t>
      </w:r>
    </w:p>
    <w:p>
      <w:r>
        <w:t>Evidence coverage: 38 of 42 resolved: 24 evidenced, 14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3.6 years of history since 2022-05-12 (cell 1.11) and net assets of approx. $438.0M (cell 2.3).</w:t>
            </w:r>
          </w:p>
          <w:p>
            <w:r>
              <w:t>Facts on record: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the premium/discount pathology quantified in the fund's own highlights.</w:t>
            </w:r>
          </w:p>
          <w:p>
            <w:r>
              <w:t>1.3 Gross vs net spread (extracted-unverified): No gross-vs-net spread exists: the Financial Highlights print a SINGLE expense line, 'Ratio of expenses to average net assets', 4.53% (FY2025), 6.28% (FY2024), 5.92% (FY2023), 5.13% (FY2022), with no before/after-waiver companion line.</w:t>
            </w:r>
          </w:p>
          <w:p>
            <w:r>
              <w:t>1.4 Distribution history &amp; composition (extracted-unverified): No distributions ever paid through FY2025.</w:t>
            </w:r>
          </w:p>
          <w:p>
            <w:r>
              <w:t>1.6 Volatility &amp; max drawdown (computed): Computed from the held daily series DXYZ (Yahoo daily close, a market price that includes premium and discount dynamics), 2024-03-26 to 2026-07-17: annualized volatility 204.62% on 28 monthly returns and 162.6% on daily returns, max drawdown -90.35% on the daily series (peak 2024-04-08 to trough 2024-08-07).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Stress observation from the printed fiscal-year returns on record.</w:t>
            </w:r>
          </w:p>
          <w:p>
            <w:r>
              <w:t>1.10 Market price &amp; premium/discount (computed): Full trading-life price series on record (579 sessions, 2024-03-26 to 2026-07-17, DXYZ daily close): first $9.00, peak $99.79 on 2024-04-08, last $25.97, cumulative +188.6%.</w:t>
            </w:r>
          </w:p>
          <w:p>
            <w:r>
              <w:t>1.11 Track record &amp; manager tenure (extracted-unverified): Portfolio managers = members of the Investment Committee, 'currently comprised of Sohail Prasad' (sole member).</w:t>
            </w:r>
          </w:p>
          <w:p>
            <w:r>
              <w:t>1.12 Peer comparison (paragraphs (g) and (h)) (computed): Peer comparison (paragraphs (g) and (h)): pre-IPO and venture cohort, peers Neostellar Capital Corp., ARK Venture Fund, fund return basis Yahoo adjusted close, a market price with distributions reinvested, not NAV (DXYZ).</w:t>
            </w:r>
          </w:p>
          <w:p>
            <w:r>
              <w:t>Not applicable: 1.5 underlying fund/GP-level returns are LP-only reporting, filings disclose holdings at fair value (see 3.4/SOI), not underlying fund IRRs. 1.7 appraisal-series diagnostic, product's public series is a market price, NAV filed quarterly.</w:t>
            </w:r>
          </w:p>
        </w:tc>
      </w:tr>
      <w:tr>
        <w:trPr>
          <w:cantSplit/>
        </w:trPr>
        <w:tc>
          <w:tcPr>
            <w:tcW w:type="dxa" w:w="1728"/>
          </w:tcPr>
          <w:p>
            <w:r>
              <w:t>2. Fees (h)</w:t>
            </w:r>
          </w:p>
        </w:tc>
        <w:tc>
          <w:tcPr>
            <w:tcW w:type="dxa" w:w="7632"/>
          </w:tcPr>
          <w:p>
            <w:r>
              <w:t>On fees and expenses (h), the management fee is 2.50% on gross assets incl. borrowings (cell 2.1), the incentive fee is none (cell 2.2) and the expense ratio is 4.53% (of average net assets (FY2025)) (cell 2.3).</w:t>
            </w:r>
          </w:p>
          <w:p>
            <w:r>
              <w:t>Facts on record: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the leverage-inclusive fee-base trap (cell 2.1) on the fail case itself.</w:t>
            </w:r>
          </w:p>
          <w:p>
            <w:r>
              <w:t>2.2 Incentive fee terms (extracted-unverified): NO incentive/performance fee at the fund level,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10.8% of the position per year (the plan record) and the structural verdict is aligned-mechanical with the scenario verdict aligned-mechanical under this plan (ILLUSTRATIVE, cell 3.9).</w:t>
            </w:r>
          </w:p>
          <w:p>
            <w:r>
              <w:t>Facts on record: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no debt line, zero N-CSR hits for credit facility / line of credit / borrowings outstanding.</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3.2 exchange-traded. 3.3 exchange-traded.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KPMG LLP (Big 4) (cell 4.5).</w:t>
            </w:r>
          </w:p>
          <w:p>
            <w:r>
              <w:t>Facts on record: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only hits are corporate 'Articles of Amendment and Restatement' / 'Amended and Restated Bylaws'.</w:t>
            </w:r>
          </w:p>
          <w:p>
            <w:r>
              <w:t>4.7 Premium/discount check (computed): Premium vs the latest FILED quarterly NAV ($24.56): +5.7% at the 2026-07-17 close ($25.97).</w:t>
            </w:r>
          </w:p>
          <w:p>
            <w:r>
              <w:t>Not applicable: 4.8 appraisal-series diagnostic, product's public series is a market price, NAV filed quarterly.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YES,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closed-end fund (cell 6.1) and cells 6.6 and 6.8 are advisor-completed under paragraph (l).</w:t>
            </w:r>
          </w:p>
          <w:p>
            <w:r>
              <w:t>Facts on record: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2.50%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rPr>
          <w:cantSplit/>
        </w:trPr>
        <w:tc>
          <w:tcPr>
            <w:tcW w:type="dxa" w:w="2880"/>
          </w:tcPr>
          <w:p>
            <w:r>
              <w:t>2.4 AFFE</w:t>
            </w:r>
          </w:p>
        </w:tc>
        <w:tc>
          <w:tcPr>
            <w:tcW w:type="dxa" w:w="3600"/>
          </w:tcPr>
          <w:p>
            <w:r>
              <w:t>AFFE 0.03%</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no early-repurchase fee (exchange-traded)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(DXYZ).</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Declared benchmark</w:t>
            </w:r>
          </w:p>
        </w:tc>
        <w:tc>
          <w:tcPr>
            <w:tcW w:type="dxa" w:w="2736"/>
          </w:tcPr>
          <w:p>
            <w:r>
              <w:t>NASDAQ Composite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Destiny Tech100 Inc out (2: Neostellar Capital Corp.,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Declared benchmark: NASDAQ Composite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pPr>
        <w:pStyle w:val="Heading2"/>
        <w:keepNext/>
      </w:pPr>
      <w:r>
        <w:t>Peer comparison (paragraphs (g) and (h)): pre-IPO and venture cohort</w:t>
      </w:r>
    </w:p>
    <w:p>
      <w:r>
        <w:t>Peers: Neostellar Capital Corp., ARK Venture Fund. This is the history of similar investments, not the benchmark, and it is never a public market equivalent.</w:t>
      </w:r>
    </w:p>
    <w:p>
      <w:pPr>
        <w:keepNext/>
      </w:pPr>
      <w:r>
        <w:t>Composite refused: fewer than 3 peers remain after leaving Destiny Tech100 Inc out (2: Neostellar Capital Corp.,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Destiny Tech100 Inc</w:t>
            </w:r>
          </w:p>
        </w:tc>
        <w:tc>
          <w:tcPr>
            <w:tcW w:type="dxa" w:w="2496"/>
          </w:tcPr>
          <w:p>
            <w:r>
              <w:t>Neostellar Capital Corp.</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n/a</w:t>
            </w:r>
          </w:p>
        </w:tc>
        <w:tc>
          <w:tcPr>
            <w:tcW w:type="dxa" w:w="2496"/>
          </w:tcPr>
          <w:p>
            <w:r>
              <w:t>8.35%</w:t>
            </w:r>
          </w:p>
        </w:tc>
        <w:tc>
          <w:tcPr>
            <w:tcW w:type="dxa" w:w="2496"/>
          </w:tcPr>
          <w:p>
            <w:r>
              <w:t>n/a</w:t>
            </w:r>
          </w:p>
        </w:tc>
      </w:tr>
      <w:tr>
        <w:trPr>
          <w:cantSplit/>
        </w:trPr>
        <w:tc>
          <w:tcPr>
            <w:tcW w:type="dxa" w:w="1296"/>
          </w:tcPr>
          <w:p>
            <w:r>
              <w:t>2018</w:t>
            </w:r>
          </w:p>
        </w:tc>
        <w:tc>
          <w:tcPr>
            <w:tcW w:type="dxa" w:w="576"/>
          </w:tcPr>
          <w:p>
            <w:r>
              <w:t>1</w:t>
            </w:r>
          </w:p>
        </w:tc>
        <w:tc>
          <w:tcPr>
            <w:tcW w:type="dxa" w:w="2496"/>
          </w:tcPr>
          <w:p>
            <w:r>
              <w:t>n/a</w:t>
            </w:r>
          </w:p>
        </w:tc>
        <w:tc>
          <w:tcPr>
            <w:tcW w:type="dxa" w:w="2496"/>
          </w:tcPr>
          <w:p>
            <w:r>
              <w:t>-4.22%</w:t>
            </w:r>
          </w:p>
        </w:tc>
        <w:tc>
          <w:tcPr>
            <w:tcW w:type="dxa" w:w="2496"/>
          </w:tcPr>
          <w:p>
            <w:r>
              <w:t>n/a</w:t>
            </w:r>
          </w:p>
        </w:tc>
      </w:tr>
      <w:tr>
        <w:trPr>
          <w:cantSplit/>
        </w:trPr>
        <w:tc>
          <w:tcPr>
            <w:tcW w:type="dxa" w:w="1296"/>
          </w:tcPr>
          <w:p>
            <w:r>
              <w:t>2019</w:t>
            </w:r>
          </w:p>
        </w:tc>
        <w:tc>
          <w:tcPr>
            <w:tcW w:type="dxa" w:w="576"/>
          </w:tcPr>
          <w:p>
            <w:r>
              <w:t>1</w:t>
            </w:r>
          </w:p>
        </w:tc>
        <w:tc>
          <w:tcPr>
            <w:tcW w:type="dxa" w:w="2496"/>
          </w:tcPr>
          <w:p>
            <w:r>
              <w:t>n/a</w:t>
            </w:r>
          </w:p>
        </w:tc>
        <w:tc>
          <w:tcPr>
            <w:tcW w:type="dxa" w:w="2496"/>
          </w:tcPr>
          <w:p>
            <w:r>
              <w:t>31.56%</w:t>
            </w:r>
          </w:p>
        </w:tc>
        <w:tc>
          <w:tcPr>
            <w:tcW w:type="dxa" w:w="2496"/>
          </w:tcPr>
          <w:p>
            <w:r>
              <w:t>n/a</w:t>
            </w:r>
          </w:p>
        </w:tc>
      </w:tr>
      <w:tr>
        <w:trPr>
          <w:cantSplit/>
        </w:trPr>
        <w:tc>
          <w:tcPr>
            <w:tcW w:type="dxa" w:w="1296"/>
          </w:tcPr>
          <w:p>
            <w:r>
              <w:t>2020</w:t>
            </w:r>
          </w:p>
        </w:tc>
        <w:tc>
          <w:tcPr>
            <w:tcW w:type="dxa" w:w="576"/>
          </w:tcPr>
          <w:p>
            <w:r>
              <w:t>1</w:t>
            </w:r>
          </w:p>
        </w:tc>
        <w:tc>
          <w:tcPr>
            <w:tcW w:type="dxa" w:w="2496"/>
          </w:tcPr>
          <w:p>
            <w:r>
              <w:t>n/a</w:t>
            </w:r>
          </w:p>
        </w:tc>
        <w:tc>
          <w:tcPr>
            <w:tcW w:type="dxa" w:w="2496"/>
          </w:tcPr>
          <w:p>
            <w:r>
              <w:t>116.63%</w:t>
            </w:r>
          </w:p>
        </w:tc>
        <w:tc>
          <w:tcPr>
            <w:tcW w:type="dxa" w:w="2496"/>
          </w:tcPr>
          <w:p>
            <w:r>
              <w:t>n/a</w:t>
            </w:r>
          </w:p>
        </w:tc>
      </w:tr>
      <w:tr>
        <w:trPr>
          <w:cantSplit/>
        </w:trPr>
        <w:tc>
          <w:tcPr>
            <w:tcW w:type="dxa" w:w="1296"/>
          </w:tcPr>
          <w:p>
            <w:r>
              <w:t>2021</w:t>
            </w:r>
          </w:p>
        </w:tc>
        <w:tc>
          <w:tcPr>
            <w:tcW w:type="dxa" w:w="576"/>
          </w:tcPr>
          <w:p>
            <w:r>
              <w:t>1</w:t>
            </w:r>
          </w:p>
        </w:tc>
        <w:tc>
          <w:tcPr>
            <w:tcW w:type="dxa" w:w="2496"/>
          </w:tcPr>
          <w:p>
            <w:r>
              <w:t>n/a</w:t>
            </w:r>
          </w:p>
        </w:tc>
        <w:tc>
          <w:tcPr>
            <w:tcW w:type="dxa" w:w="2496"/>
          </w:tcPr>
          <w:p>
            <w:r>
              <w:t>72.61%</w:t>
            </w:r>
          </w:p>
        </w:tc>
        <w:tc>
          <w:tcPr>
            <w:tcW w:type="dxa" w:w="2496"/>
          </w:tcPr>
          <w:p>
            <w:r>
              <w:t>n/a</w:t>
            </w:r>
          </w:p>
        </w:tc>
      </w:tr>
      <w:tr>
        <w:trPr>
          <w:cantSplit/>
        </w:trPr>
        <w:tc>
          <w:tcPr>
            <w:tcW w:type="dxa" w:w="1296"/>
          </w:tcPr>
          <w:p>
            <w:r>
              <w:t>2022</w:t>
            </w:r>
          </w:p>
        </w:tc>
        <w:tc>
          <w:tcPr>
            <w:tcW w:type="dxa" w:w="576"/>
          </w:tcPr>
          <w:p>
            <w:r>
              <w:t>1</w:t>
            </w:r>
          </w:p>
        </w:tc>
        <w:tc>
          <w:tcPr>
            <w:tcW w:type="dxa" w:w="2496"/>
          </w:tcPr>
          <w:p>
            <w:r>
              <w:t>n/a</w:t>
            </w:r>
          </w:p>
        </w:tc>
        <w:tc>
          <w:tcPr>
            <w:tcW w:type="dxa" w:w="2496"/>
          </w:tcPr>
          <w:p>
            <w:r>
              <w:t>-70.31%</w:t>
            </w:r>
          </w:p>
        </w:tc>
        <w:tc>
          <w:tcPr>
            <w:tcW w:type="dxa" w:w="2496"/>
          </w:tcPr>
          <w:p>
            <w:r>
              <w:t>n/a</w:t>
            </w:r>
          </w:p>
        </w:tc>
      </w:tr>
      <w:tr>
        <w:trPr>
          <w:cantSplit/>
        </w:trPr>
        <w:tc>
          <w:tcPr>
            <w:tcW w:type="dxa" w:w="1296"/>
          </w:tcPr>
          <w:p>
            <w:r>
              <w:t>2023</w:t>
            </w:r>
          </w:p>
        </w:tc>
        <w:tc>
          <w:tcPr>
            <w:tcW w:type="dxa" w:w="576"/>
          </w:tcPr>
          <w:p>
            <w:r>
              <w:t>2</w:t>
            </w:r>
          </w:p>
        </w:tc>
        <w:tc>
          <w:tcPr>
            <w:tcW w:type="dxa" w:w="2496"/>
          </w:tcPr>
          <w:p>
            <w:r>
              <w:t>n/a</w:t>
            </w:r>
          </w:p>
        </w:tc>
        <w:tc>
          <w:tcPr>
            <w:tcW w:type="dxa" w:w="2496"/>
          </w:tcPr>
          <w:p>
            <w:r>
              <w:t>3.68%</w:t>
            </w:r>
          </w:p>
        </w:tc>
        <w:tc>
          <w:tcPr>
            <w:tcW w:type="dxa" w:w="2496"/>
          </w:tcPr>
          <w:p>
            <w:r>
              <w:t>61.25%</w:t>
            </w:r>
          </w:p>
        </w:tc>
      </w:tr>
      <w:tr>
        <w:trPr>
          <w:cantSplit/>
        </w:trPr>
        <w:tc>
          <w:tcPr>
            <w:tcW w:type="dxa" w:w="1296"/>
          </w:tcPr>
          <w:p>
            <w:r>
              <w:t>2024</w:t>
            </w:r>
          </w:p>
        </w:tc>
        <w:tc>
          <w:tcPr>
            <w:tcW w:type="dxa" w:w="576"/>
          </w:tcPr>
          <w:p>
            <w:r>
              <w:t>2</w:t>
            </w:r>
          </w:p>
        </w:tc>
        <w:tc>
          <w:tcPr>
            <w:tcW w:type="dxa" w:w="2496"/>
          </w:tcPr>
          <w:p>
            <w:r>
              <w:t>n/a</w:t>
            </w:r>
          </w:p>
        </w:tc>
        <w:tc>
          <w:tcPr>
            <w:tcW w:type="dxa" w:w="2496"/>
          </w:tcPr>
          <w:p>
            <w:r>
              <w:t>49.24%</w:t>
            </w:r>
          </w:p>
        </w:tc>
        <w:tc>
          <w:tcPr>
            <w:tcW w:type="dxa" w:w="2496"/>
          </w:tcPr>
          <w:p>
            <w:r>
              <w:t>6.69%</w:t>
            </w:r>
          </w:p>
        </w:tc>
      </w:tr>
      <w:tr>
        <w:trPr>
          <w:cantSplit/>
        </w:trPr>
        <w:tc>
          <w:tcPr>
            <w:tcW w:type="dxa" w:w="1296"/>
          </w:tcPr>
          <w:p>
            <w:r>
              <w:t>2025</w:t>
            </w:r>
          </w:p>
        </w:tc>
        <w:tc>
          <w:tcPr>
            <w:tcW w:type="dxa" w:w="576"/>
          </w:tcPr>
          <w:p>
            <w:r>
              <w:t>3</w:t>
            </w:r>
          </w:p>
        </w:tc>
        <w:tc>
          <w:tcPr>
            <w:tcW w:type="dxa" w:w="2496"/>
          </w:tcPr>
          <w:p>
            <w:r>
              <w:t>-47.96%</w:t>
            </w:r>
          </w:p>
        </w:tc>
        <w:tc>
          <w:tcPr>
            <w:tcW w:type="dxa" w:w="2496"/>
          </w:tcPr>
          <w:p>
            <w:r>
              <w:t>69.91%</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closed-end fund</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3.1</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$438.0M</w:t>
            </w:r>
          </w:p>
        </w:tc>
        <w:tc>
          <w:tcPr>
            <w:tcW w:type="dxa" w:w="1152"/>
          </w:tcPr>
          <w:p>
            <w:r>
              <w:t>2.3</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not applicable (exchange-traded).</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2024-05-01 to 2025-04-30): 10.8%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9.2% of the position per year, from tail turnover 20%/yr on the 28.2% of accounts that are separated and active turnover 5%/yr on the rest. Shown beside the filed rate, not blended with it, and likewise a selling rate against market depth.</w:t>
      </w:r>
    </w:p>
    <w:p>
      <w:r>
        <w:t>Cited: cell 3.1, cell 3.7, the plan record on file (Form 5500, plan year 2024-05-01 to 2025-04-30).</w:t>
      </w:r>
    </w:p>
    <w:p>
      <w:pPr>
        <w:pStyle w:val="Heading1"/>
        <w:keepNext/>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14, partial 3, fetched 1, n/a 13, pending 0. 38 of 42 resolved: 24 evidenced, 14 computed, 4 partial, 13 n/a, 0 verified by a person.</w:t>
      </w:r>
    </w:p>
    <w:p>
      <w:r>
        <w:t>Of the 38 resolved cells (structured, extracted-unverified, verified and computed), 38 carry a source document, 38 a section, 24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N-CSR 2026-03-10</w:t>
            </w:r>
          </w:p>
        </w:tc>
        <w:tc>
          <w:tcPr>
            <w:tcW w:type="dxa" w:w="4896"/>
          </w:tcPr>
          <w:p>
            <w:r>
              <w:t>accession 0001213900-26-025304</w:t>
            </w:r>
          </w:p>
          <w:p>
            <w:r>
              <w:t>https://www.sec.gov/Archives/edgar/data/1843974/000121390026025304/ea0276106-01_ncsr.htm</w:t>
            </w:r>
          </w:p>
        </w:tc>
        <w:tc>
          <w:tcPr>
            <w:tcW w:type="dxa" w:w="2592"/>
          </w:tcPr>
          <w:p>
            <w:r>
              <w:t>1.1, 1.2, 1.3, 1.4, 1.11, 2.1, 2.2, 2.3, 2.5, 3.1, 3.4, 3.6, 4.1, 4.2, 4.3, 4.4, 4.5, 4.6, 5.1, 6.1, 6.2, 6.3, 6.5</w:t>
            </w:r>
          </w:p>
        </w:tc>
      </w:tr>
      <w:tr>
        <w:trPr>
          <w:cantSplit/>
        </w:trPr>
        <w:tc>
          <w:tcPr>
            <w:tcW w:type="dxa" w:w="1872"/>
          </w:tcPr>
          <w:p>
            <w:r>
              <w:t>424B3 2026-05-12</w:t>
            </w:r>
          </w:p>
        </w:tc>
        <w:tc>
          <w:tcPr>
            <w:tcW w:type="dxa" w:w="4896"/>
          </w:tcPr>
          <w:p>
            <w:r>
              <w:t>accession 0001575872-26-000288</w:t>
            </w:r>
          </w:p>
          <w:p>
            <w:r>
              <w:t>https://www.sec.gov/Archives/edgar/data/1843974/000157587226000288/dxyz100_424b3.htm</w:t>
            </w:r>
          </w:p>
        </w:tc>
        <w:tc>
          <w:tcPr>
            <w:tcW w:type="dxa" w:w="2592"/>
          </w:tcPr>
          <w:p>
            <w:r>
              <w:t>3.4, 6.1, 6.2</w:t>
            </w:r>
          </w:p>
        </w:tc>
      </w:tr>
      <w:tr>
        <w:trPr>
          <w:cantSplit/>
        </w:trPr>
        <w:tc>
          <w:tcPr>
            <w:tcW w:type="dxa" w:w="1872"/>
          </w:tcPr>
          <w:p>
            <w:r>
              <w:t>424B5 2026-05-26</w:t>
            </w:r>
          </w:p>
        </w:tc>
        <w:tc>
          <w:tcPr>
            <w:tcW w:type="dxa" w:w="4896"/>
          </w:tcPr>
          <w:p>
            <w:r>
              <w:t>accession 0001575872-26-000359</w:t>
            </w:r>
          </w:p>
          <w:p>
            <w:r>
              <w:t>https://www.sec.gov/Archives/edgar/data/1843974/000157587226000359/dxyz102_424b5.htm</w:t>
            </w:r>
          </w:p>
        </w:tc>
        <w:tc>
          <w:tcPr>
            <w:tcW w:type="dxa" w:w="2592"/>
          </w:tcPr>
          <w:p>
            <w:r>
              <w:t>1.3, 1.4, 1.11, 2.2, 2.4, 2.6, 3.6, 4.1, 6.1, 6.2, 6.3, 6.4</w:t>
            </w:r>
          </w:p>
        </w:tc>
      </w:tr>
      <w:tr>
        <w:trPr>
          <w:cantSplit/>
        </w:trPr>
        <w:tc>
          <w:tcPr>
            <w:tcW w:type="dxa" w:w="1872"/>
          </w:tcPr>
          <w:p>
            <w:r>
              <w:t>NPORT-P 2026-05-29</w:t>
            </w:r>
          </w:p>
        </w:tc>
        <w:tc>
          <w:tcPr>
            <w:tcW w:type="dxa" w:w="4896"/>
          </w:tcPr>
          <w:p>
            <w:r>
              <w:t>accession 0000894189-26-016628</w:t>
            </w:r>
          </w:p>
          <w:p>
            <w:r>
              <w:t>https://www.sec.gov/Archives/edgar/data/1843974/000089418926016628/xslFormNPORT-P_X01/primary_doc.xml</w:t>
            </w:r>
          </w:p>
        </w:tc>
        <w:tc>
          <w:tcPr>
            <w:tcW w:type="dxa" w:w="2592"/>
          </w:tcPr>
          <w:p>
            <w:r>
              <w:t>3.6</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1.10: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Destiny Tech100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Destiny Tech100 Inc for US casual-dining restaurant group 401(k) plan (~$1.6B, FL)</dc:title>
  <dc:subject>Fiduciary Duties in Selecting Designated Investment Alternatives, 91 FR 16088 (Mar. 31, 2026), RIN 1210-AC38, proposed 29 CFR 2550.404a-6, paragraphs (g) to (l)</dc:subject>
  <dc:creator>Tark</dc:creator>
  <cp:keywords>dxyz,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