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keepNext/>
      </w:pPr>
      <w:r>
        <w:t>Investment Selection Record</w:t>
      </w:r>
    </w:p>
    <w:p>
      <w:r>
        <w:rPr>
          <w:b/>
        </w:rPr>
        <w:t>Plan: US media/technology company 401(k) plan (~$570M, New York)</w:t>
      </w:r>
      <w:r>
        <w:t xml:space="preserve">. Product: AMG Pantheon Fund, LLC (tender-offer fund ('40 Act), evergreen PE, CIK 1609211). </w:t>
      </w:r>
      <w:r>
        <w:t>Date: 2026-09-04. Status: DRAFT until the committee signs page one. Cells marked extracted-unverified pend independent verification.</w:t>
      </w:r>
    </w:p>
    <w:p>
      <w:pPr>
        <w:pStyle w:val="Heading1"/>
        <w:keepNext/>
      </w:pPr>
      <w:r>
        <w:t>Decision summary</w:t>
      </w:r>
    </w:p>
    <w:p>
      <w:r>
        <w:t>Structural liquidity verdict: PARTIAL (dealing terms on record, plan-independent). Scenario verdict under US media/technology company 401(k) plan (~$570M, New York) (ILLUSTRATIVE): CONDITIONAL-WEAK.</w:t>
      </w:r>
    </w:p>
    <w:p>
      <w:r>
        <w:t>Meaningful benchmark (paragraph (k)): Cambridge Associates US PE benchmark at 8 of 10, cited, series not in the record. Meaningful benchmark by descriptor. No comparison until its series is held. Peer comparison (paragraphs (g) and (h)): relative wealth ratio 0.8813 vs the equal-weight peer composite over FY2023 to FY2026 (years to 03-31) (n=3), not a benchmark and not a PME.</w:t>
      </w:r>
    </w:p>
    <w:p>
      <w:r>
        <w:t>Reference comparison, not the meaningful benchmark: Listed private equity investable proxy (PSP), KS-PME 1.5919, Direct Alpha 6.87%/yr over 2019-03-31 to 2026-03-31.</w:t>
      </w:r>
    </w:p>
    <w:p>
      <w:r>
        <w:t>Evidence coverage: 38 of 42 resolved: 27 evidenced, 11 computed, 4 partial, 13 n/a, 0 verified by a person. Verified by a person: 0. Advisor-stated inputs for this plan: 0 of 6.</w:t>
      </w:r>
    </w:p>
    <w:p>
      <w:pPr>
        <w:pStyle w:val="Heading2"/>
        <w:keepNext/>
      </w:pPr>
      <w:r>
        <w:t>Recommendation</w:t>
      </w:r>
    </w:p>
    <w:p>
      <w:pPr>
        <w:keepNext/>
      </w:pPr>
      <w:r>
        <w:t>Flags raised by the record (each restates a recorded value or verdict already in the record, with its source):</w:t>
      </w:r>
    </w:p>
    <w:p>
      <w:pPr>
        <w:pStyle w:val="ListBullet"/>
      </w:pPr>
      <w:r>
        <w:t>Benchmark: the meaningful benchmark carries no computed comparison (Meaningful benchmark by descriptor. No comparison until its series is held) (benchmark selection)</w:t>
      </w:r>
    </w:p>
    <w:p>
      <w:pPr>
        <w:pStyle w:val="ListBullet"/>
      </w:pPr>
      <w:r>
        <w:t>Liquidity: structural verdict partial, facts missing: gating history (cells 3.1, 3.3)</w:t>
      </w:r>
    </w:p>
    <w:p>
      <w:pPr>
        <w:pStyle w:val="ListBullet"/>
      </w:pPr>
      <w:r>
        <w:t>Liquidity: ILLUSTRATIVE scenario verdict conditional-weak under this plan (the filed outflow proxy or the stressed demand above wrapper capacity)</w:t>
      </w:r>
    </w:p>
    <w:p>
      <w:r>
        <w:t>This record does not decide. The fiduciary makes the decision on this record. The committee-completed cells stay the committee's to complete for its own plan before it does: 6.6 Plan operational fit (open), 6.8 Fiduciary capacity self-assessment (open), 3.7 Plan participant liquidity demand (open), 2.8 CIT fee schedule (not applicable: CIT only), 3.5 TDF/CIT liquidity sleeve (not applicable: CIT only), 4.9 CIT unit valuation (not applicable: CIT only).</w:t>
      </w:r>
    </w:p>
    <w:p>
      <w:pPr>
        <w:pStyle w:val="Heading2"/>
        <w:keepNext/>
      </w:pPr>
      <w:r>
        <w:t>Committee action and signatures</w:t>
      </w:r>
    </w:p>
    <w:p>
      <w:pPr>
        <w:keepNext/>
      </w:pPr>
      <w:r>
        <w:t>The committee records its action on this product for this plan and signs below. A signature adopts the record as read, it does not verify a cell: verification is the separate signed act on the evidence ledger.</w:t>
      </w:r>
    </w:p>
    <w:tbl>
      <w:tblPr>
        <w:tblStyle w:val="TableGrid"/>
        <w:tblW w:type="dxa" w:w="9360"/>
        <w:tblLayout w:type="fixed"/>
        <w:tblLook w:firstColumn="1" w:firstRow="1" w:lastColumn="0" w:lastRow="0" w:noHBand="0" w:noVBand="1" w:val="04A0"/>
      </w:tblPr>
      <w:tblGrid>
        <w:gridCol w:w="2304"/>
        <w:gridCol w:w="3456"/>
        <w:gridCol w:w="2304"/>
        <w:gridCol w:w="1296"/>
      </w:tblGrid>
      <w:tr>
        <w:trPr>
          <w:tblHeader/>
          <w:cantSplit/>
        </w:trPr>
        <w:tc>
          <w:tcPr>
            <w:tcW w:type="dxa" w:w="2304"/>
          </w:tcPr>
          <w:p>
            <w:r>
              <w:t>Role</w:t>
            </w:r>
          </w:p>
        </w:tc>
        <w:tc>
          <w:tcPr>
            <w:tcW w:type="dxa" w:w="3456"/>
          </w:tcPr>
          <w:p>
            <w:r>
              <w:t>Name and title</w:t>
            </w:r>
          </w:p>
        </w:tc>
        <w:tc>
          <w:tcPr>
            <w:tcW w:type="dxa" w:w="2304"/>
          </w:tcPr>
          <w:p>
            <w:r>
              <w:t>Signature</w:t>
            </w:r>
          </w:p>
        </w:tc>
        <w:tc>
          <w:tcPr>
            <w:tcW w:type="dxa" w:w="1296"/>
          </w:tcPr>
          <w:p>
            <w:r>
              <w:t>Date</w:t>
            </w:r>
          </w:p>
        </w:tc>
      </w:tr>
      <w:tr>
        <w:trPr>
          <w:cantSplit/>
        </w:trPr>
        <w:tc>
          <w:tcPr>
            <w:tcW w:type="dxa" w:w="2304"/>
          </w:tcPr>
          <w:p>
            <w:r>
              <w:t>Committee action</w:t>
            </w:r>
          </w:p>
        </w:tc>
        <w:tc>
          <w:tcPr>
            <w:tcW w:type="dxa" w:w="1296"/>
            <w:gridSpan w:val="3"/>
          </w:tcPr>
          <w:p>
            <w:r>
              <w:t>Select    Decline    Defer    (mark one)</w:t>
            </w:r>
          </w:p>
        </w:tc>
      </w:tr>
      <w:tr>
        <w:trPr>
          <w:cantSplit/>
        </w:trPr>
        <w:tc>
          <w:tcPr>
            <w:tcW w:type="dxa" w:w="2304"/>
          </w:tcPr>
          <w:p>
            <w:r>
              <w:t>Adopting fiduciary</w:t>
            </w:r>
          </w:p>
        </w:tc>
        <w:tc>
          <w:tcPr>
            <w:tcW w:type="dxa" w:w="3456"/>
          </w:tcPr>
          <w:p/>
        </w:tc>
        <w:tc>
          <w:tcPr>
            <w:tcW w:type="dxa" w:w="2304"/>
          </w:tcPr>
          <w:p/>
        </w:tc>
        <w:tc>
          <w:tcPr>
            <w:tcW w:type="dxa" w:w="1296"/>
          </w:tcPr>
          <w:p/>
        </w:tc>
      </w:tr>
      <w:tr>
        <w:trPr>
          <w:cantSplit/>
        </w:trPr>
        <w:tc>
          <w:tcPr>
            <w:tcW w:type="dxa" w:w="2304"/>
          </w:tcPr>
          <w:p>
            <w:r>
              <w:t>Adviser</w:t>
            </w:r>
          </w:p>
        </w:tc>
        <w:tc>
          <w:tcPr>
            <w:tcW w:type="dxa" w:w="3456"/>
          </w:tcPr>
          <w:p/>
        </w:tc>
        <w:tc>
          <w:tcPr>
            <w:tcW w:type="dxa" w:w="2304"/>
          </w:tcPr>
          <w:p/>
        </w:tc>
        <w:tc>
          <w:tcPr>
            <w:tcW w:type="dxa" w:w="1296"/>
          </w:tcPr>
          <w:p/>
        </w:tc>
      </w:tr>
      <w:tr>
        <w:trPr>
          <w:cantSplit/>
        </w:trPr>
        <w:tc>
          <w:tcPr>
            <w:tcW w:type="dxa" w:w="2304"/>
          </w:tcPr>
          <w:p>
            <w:r>
              <w:t>Committee secretary</w:t>
            </w:r>
          </w:p>
        </w:tc>
        <w:tc>
          <w:tcPr>
            <w:tcW w:type="dxa" w:w="3456"/>
          </w:tcPr>
          <w:p/>
        </w:tc>
        <w:tc>
          <w:tcPr>
            <w:tcW w:type="dxa" w:w="2304"/>
          </w:tcPr>
          <w:p/>
        </w:tc>
        <w:tc>
          <w:tcPr>
            <w:tcW w:type="dxa" w:w="1296"/>
          </w:tcPr>
          <w:p/>
        </w:tc>
      </w:tr>
    </w:tbl>
    <w:p>
      <w:r>
        <w:t>Record as of 2026-09-04. Status: DRAFT until signed.</w:t>
      </w:r>
    </w:p>
    <w:p>
      <w:r>
        <w:fldChar w:fldCharType="begin"/>
      </w:r>
      <w:r>
        <w:instrText xml:space="preserve">TOC \o "1-2" \h \z \u</w:instrText>
      </w:r>
      <w:r>
        <w:fldChar w:fldCharType="separate"/>
      </w:r>
      <w:r>
        <w:t>Table of contents: updated when the document is opened in Word.</w:t>
      </w:r>
      <w:r>
        <w:fldChar w:fldCharType="end"/>
      </w:r>
    </w:p>
    <w:p>
      <w:pPr>
        <w:pStyle w:val="Heading1"/>
        <w:keepNext/>
      </w:pPr>
      <w:r>
        <w:t>Regulatory basis</w:t>
      </w:r>
    </w:p>
    <w:p>
      <w:r>
        <w:t>U.S. Department of Labor, Employee Benefits Security Administration, proposed rule Fiduciary Duties in Selecting Designated Investment Alternatives, 91 FR 16088 (Mar. 31, 2026), RIN 1210-AC38, proposed 29 CFR 2550.404a-6. Federal Register document 2026-06178, https://www.federalregister.gov/documents/2026/03/31/2026-06178/fiduciary-duties-in-selecting-designated-investment-alternatives. Docket EBSA-2026-0166, https://www.regulations.gov/docket/EBSA-2026-0166.</w:t>
      </w:r>
    </w:p>
    <w:p>
      <w:r>
        <w:t>This record documents an evaluation of the product below as a candidate designated investment alternative for the plan named above, structured on the six factors of the proposed rule, paragraphs (g) to (l) of proposed 29 CFR 2550.404a-6: performance (g), fees and expenses (h), liquidity (i), valuation (j), performance benchmarks (k), complexity (l). The regulation is cited, not paraphrased. This record and its underlying evidence files are the record of the evaluation.</w:t>
      </w:r>
    </w:p>
    <w:p>
      <w:r>
        <w:t>The benchmark section documents the selection AND the rejections: every candidate considered, its score, and the true reason it was or was not chosen. Case law is addressed in its own section below, from cell 5.7 only.</w:t>
      </w:r>
    </w:p>
    <w:p>
      <w:r>
        <w:t>Factor mapping basis: factor order per the 2026-09-03 audit's check of 91 FR 16088, paragraphs (g) to (l) of proposed 29 CFR 2550.404a-6, verbatim text in the record. The rule paragraph under each letter follows verbatim. The full text of paragraphs (g) to (l), examples included, is Attachment A, one document shared by every record and named by its content hash, aef7a94680824e5574780e1f614702189d9dafcf1fde58558ff3ac782d3dcd5a. Cells 6.6 and 6.8 are advisor-completed under paragraph (l).</w:t>
      </w:r>
    </w:p>
    <w:p>
      <w:pPr>
        <w:pStyle w:val="IntenseQuote"/>
      </w:pPr>
      <w:r>
        <w:t>(g) Performance. The plan fiduciary must appropriately consider a reasonable number of similar alternatives and determine that the risk-adjusted expected returns, over an appropriate time-horizon, of the designated investment alternative, net of anticipated fees and expenses, further the purposes of the plan by enabling participants and beneficiaries to maximize risk-adjusted returns on investment net of fees and expenses.</w:t>
      </w:r>
    </w:p>
    <w:p>
      <w:pPr>
        <w:pStyle w:val="IntenseQuote"/>
      </w:pPr>
      <w:r>
        <w:t>(h) Fees. The plan fiduciary must consider a reasonable number of similar alternatives and determine that the fees and expenses of the designated investment alternative are appropriate, taking into account its risk-adjusted expected returns and any other value the designated investment alternative brings to furthering the purposes of the plan. For this purpose, the term “value” includes any benefits, features, or services other than risk-adjusted returns. Section 404(a)(1)(B) of ERISA and paragraph (h) of this section are not violated solely because the fiduciary does not select the alternative with the lowest fees and expenses from among the alternatives considered. For example, a prudent plan fiduciary could choose to pay more in exchange for greater services.</w:t>
      </w:r>
    </w:p>
    <w:p>
      <w:pPr>
        <w:pStyle w:val="IntenseQuote"/>
      </w:pPr>
      <w:r>
        <w:t>(i) Liquidity. The fiduciary must appropriately consider and determine that the designated investment alternative will have sufficient liquidity to meet the anticipated needs of the plan at both the plan and individual levels. For example, because participant-directed individual account plans are long-term retirement savings vehicles, particularly for participants early in their careers, there is no requirement that a fiduciary select only fully liquid products. Indeed, a prudent fiduciary process may regularly lead to a decision to sacrifice some plan- or individual-level liquidity, or both, in pursuit of additional risk-adjusted return.</w:t>
      </w:r>
    </w:p>
    <w:p>
      <w:pPr>
        <w:pStyle w:val="IntenseQuote"/>
      </w:pPr>
      <w:r>
        <w:t>(j) Valuation. The fiduciary must appropriately consider and determine that the designated investment alternative has adopted adequate measures to ensure that the designated investment alternative is capable of being timely and accurately valued in accordance with the needs of the plan.</w:t>
      </w:r>
    </w:p>
    <w:p>
      <w:pPr>
        <w:pStyle w:val="IntenseQuote"/>
      </w:pPr>
      <w:r>
        <w:t>(k) Performance benchmark. The plan fiduciary must appropriately consider and determine that each designated investment alternative has a meaningful benchmark, and compare the risk-adjusted expected returns of the designated investment alternative to the meaningful benchmark. There may be more than one meaningful benchmark for a designated investment alternative, however no single benchmark is a meaningful benchmark for all designated investment alternatives on a plan investment menu. A “meaningful benchmark” is an investment, strategy, index, or other comparator that has similar mandates, strategies, objectives, and risks to the designated investment alternative. The “risk-adjusted expected returns” of the designated investment alternative may be determined based on its historical performance unless it has none, in which case it may be determined based on the historical performance of a different investment with similar mandates, strategies, objectives, and risks and that is not the meaningful benchmark. While a plan fiduciary should identify benchmarks that are as meaningful as possible, there is no presumption or preference against new or innovative designated investment alternative designs. Instead, when considering a new or innovative product design, a fiduciary should seek to identify the best possible comparators to it while also scrutinizing the potential value proposition presented by the new or innovative design.</w:t>
      </w:r>
    </w:p>
    <w:p>
      <w:pPr>
        <w:pStyle w:val="IntenseQuote"/>
      </w:pPr>
      <w:r>
        <w:t>(l) Complexity. The plan fiduciary must appropriately consider the complexity of the designated investment alternative and determine that it has the skills, knowledge, experience, and capacity to comprehend it sufficiently to discharge its obligations under ERISA and the governing plan documents or whether it must seek assistance from a qualified investment advice fiduciary, investment manager, or other individual.</w:t>
      </w:r>
    </w:p>
    <w:p>
      <w:r>
        <w:t>Source: Federal Register document 2026-06178, fetched 2026-09-07T06:19:25+00:00, content hash aef7a94680824e55. Nothing in the quoted text is Tark's.</w:t>
      </w:r>
    </w:p>
    <w:p>
      <w:pPr>
        <w:pStyle w:val="Heading1"/>
        <w:keepNext/>
      </w:pPr>
      <w:r>
        <w:t>Six-factor findings</w:t>
      </w:r>
    </w:p>
    <w:p>
      <w:pPr>
        <w:keepNext/>
      </w:pPr>
      <w:r>
        <w:t>Per factor: one sentence generated from the facts on record (each clause names its cell), then the facts on record the computations read, then the complete first sentence of every evidenced cell with its status, then the cells marked not applicable with the reason. The full sourced text, quote and document of every cell is in the evidence ledger and on the Evaluation view.</w:t>
      </w:r>
    </w:p>
    <w:tbl>
      <w:tblPr>
        <w:tblStyle w:val="TableGrid"/>
        <w:tblW w:type="dxa" w:w="9360"/>
        <w:tblLayout w:type="fixed"/>
        <w:tblLook w:firstColumn="1" w:firstRow="1" w:lastColumn="0" w:lastRow="0" w:noHBand="0" w:noVBand="1" w:val="04A0"/>
      </w:tblPr>
      <w:tblGrid>
        <w:gridCol w:w="1728"/>
        <w:gridCol w:w="7632"/>
      </w:tblGrid>
      <w:tr>
        <w:trPr>
          <w:tblHeader/>
          <w:cantSplit/>
        </w:trPr>
        <w:tc>
          <w:tcPr>
            <w:tcW w:type="dxa" w:w="1728"/>
          </w:tcPr>
          <w:p>
            <w:r>
              <w:t>Factor</w:t>
            </w:r>
          </w:p>
        </w:tc>
        <w:tc>
          <w:tcPr>
            <w:tcW w:type="dxa" w:w="7632"/>
          </w:tcPr>
          <w:p>
            <w:r>
              <w:t>Findings (cell, status, first sentence)</w:t>
            </w:r>
          </w:p>
        </w:tc>
      </w:tr>
      <w:tr>
        <w:trPr>
          <w:cantSplit/>
        </w:trPr>
        <w:tc>
          <w:tcPr>
            <w:tcW w:type="dxa" w:w="1728"/>
          </w:tcPr>
          <w:p>
            <w:r>
              <w:t>1. Performance (g)</w:t>
            </w:r>
          </w:p>
        </w:tc>
        <w:tc>
          <w:tcPr>
            <w:tcW w:type="dxa" w:w="7632"/>
          </w:tcPr>
          <w:p>
            <w:r>
              <w:t>On performance (g), the record holds 11.5 years of history since 2014-09-30 (cell 1.11), a KS-PME of 1.5919 against PSP (cell 1.8) and a relative wealth ratio of 0.8813 against the peer composite (cell 1.12).</w:t>
            </w:r>
          </w:p>
          <w:p>
            <w:r>
              <w:t>Facts on record: 1.8 KS-PME 1.59 vs PSP (reference, not the benchmark). 1.11 inception 2014-09-30, 11.5 years. 1.12 peer relative wealth ratio 0.88, not a benchmark.</w:t>
            </w:r>
          </w:p>
          <w:p>
            <w:r>
              <w:t>1.1 Net total return series (extracted-unverified): NAV-based net total return series, fiscal years ended March 31, all five classes printed.</w:t>
            </w:r>
          </w:p>
          <w:p>
            <w:r>
              <w:t>1.2 Trailing &amp; calendar-year returns (extracted-unverified): Average annual total returns as of 3/31/2026 (1yr / 5yr / 10yr / since inception, inception date): Class 4: 9.10% / 11.12% / 13.16% / 11.63% (09/30/14), Class 3: 8.88 / 10.84 / 12.87 / 12.50 (10/27/15), Class 2: 8.60 / 10.56 / 12.60 / 12.21 (10/27/15), Class 1: 8.35 / 10.29 / 12.20 / 11.81 (10/27/15), Class 5 (includes max 3.50% sales load): 4.29 / 9.23 / - / 12.72 (07/31/20).</w:t>
            </w:r>
          </w:p>
          <w:p>
            <w:r>
              <w:t>1.3 Gross vs net spread (partial): PARTIAL: no gross-of-fees RETURN series is printed in any on-disk document, only net total returns.</w:t>
            </w:r>
          </w:p>
          <w:p>
            <w:r>
              <w:t>1.4 Distribution history &amp; composition (extracted-unverified): Distributions declared/paid at least annually, identical per-unit across classes: FY2026 $0.63, FY2025 $0.25, FY2024 $0.17, FY2023 $0.41, FY2022 $0.72 - all from net realized gain on investments.</w:t>
            </w:r>
          </w:p>
          <w:p>
            <w:r>
              <w:t>1.8 Risk-adjusted metrics (PME etc) (computed): Meaningful benchmark (paragraph (k)), Cambridge Associates US PE benchmark scored 8 of 10.</w:t>
            </w:r>
          </w:p>
          <w:p>
            <w:r>
              <w:t>1.9 Stress-window performance (computed): Stress observation from the printed fiscal-year returns on record.</w:t>
            </w:r>
          </w:p>
          <w:p>
            <w:r>
              <w:t>1.11 Track record &amp; manager tenure (extracted-unverified): Fund inception 09/30/14 (Class 4 inception date, the performance table's dagger footnote marks 09/30/14 as the Fund's inception), approx. 11.5-year track record at FYE 2026-03-31.</w:t>
            </w:r>
          </w:p>
          <w:p>
            <w:r>
              <w:t>1.12 Peer comparison (paragraphs (g) and (h)) (computed): Peer comparison (paragraphs (g) and (h)): evergreen private equity cohort, peers Hamilton Lane Private Assets Fund, StepStone Private Markets, KKR Private Equity Conglomerate LLC, Ares Private Markets Fund, fund return basis filed fiscal-year returns.</w:t>
            </w:r>
          </w:p>
          <w:p>
            <w:r>
              <w:t>Not applicable: 1.5 underlying fund/GP-level performance (IRR/MOIC/TVPI) is not printed in any on-disk filing. 1.6 sub-annual return series not free-public for this wrapper. 1.7 sub-annual return series not free-public for this wrapper. 1.10 units are not traded in any market, so no market price or premium/discount exists.</w:t>
            </w:r>
          </w:p>
        </w:tc>
      </w:tr>
      <w:tr>
        <w:trPr>
          <w:cantSplit/>
        </w:trPr>
        <w:tc>
          <w:tcPr>
            <w:tcW w:type="dxa" w:w="1728"/>
          </w:tcPr>
          <w:p>
            <w:r>
              <w:t>2. Fees (h)</w:t>
            </w:r>
          </w:p>
        </w:tc>
        <w:tc>
          <w:tcPr>
            <w:tcW w:type="dxa" w:w="7632"/>
          </w:tcPr>
          <w:p>
            <w:r>
              <w:t>On fees and expenses (h), the management fee is 0.70% on net assets (cell 2.1), the incentive fee is none (cell 2.2), the expense ratio is 2.38% (total annual expenses of the inception class, classes range 2.38% to 3.38%) (cell 2.3) and the early repurchase fee is 2% &lt; 1 year (cell 2.7).</w:t>
            </w:r>
          </w:p>
          <w:p>
            <w:r>
              <w:t>Facts on record: 2.1 0.70% on net assets. 2.2 incentive fee: none. 2.3 2.38% expense ratio, total annual expenses of the inception class, classes range 2.38% to 3.38%. 2.4 AFFE 0.81%. 2.7 early repurchase fee: 2% &lt; 1 year.</w:t>
            </w:r>
          </w:p>
          <w:p>
            <w:r>
              <w:t>2.1 Management fee (rate AND base) (extracted-unverified): RATE: 0.70% annual.</w:t>
            </w:r>
          </w:p>
          <w:p>
            <w:r>
              <w:t>2.2 Incentive fee terms (extracted-unverified): Documented absence at Fund/Master level: the N-2 fee tables for all five classes print only Management Fee, Distribution and/or Service Fee, Other Expenses, and Acquired Fund Fees and Expenses, no incentive or performance fee line.</w:t>
            </w:r>
          </w:p>
          <w:p>
            <w:r>
              <w:t>2.3 Total expense ratio &amp; waivers (extracted-unverified): N-2 fee tables, Total Annual Expenses (as % of net assets attributable to Units): Class 1 3.13%, Class 2 2.88%, Class 3 2.63%, Class 4 2.38%, Class 5 3.38%, each = 0.70% management + 0.75/0.50/0.25/0.00/1.00% distribution-service + 0.87% Other Expenses + 0.81% AFFE, no waiver line in the current tables.</w:t>
            </w:r>
          </w:p>
          <w:p>
            <w:r>
              <w:t>2.4 AFFE (extracted-unverified): AFFE 0.81% for every class (Class 1 table and Class 2-5 table identical).</w:t>
            </w:r>
          </w:p>
          <w:p>
            <w:r>
              <w:t>2.5 Underlying GP economics (extracted-unverified): Printed underlying-fund economics: Investment Funds generally charge a management fee of 1.00% to 2.00% and 10% to 20% of net profits as a carried interest allocation.</w:t>
            </w:r>
          </w:p>
          <w:p>
            <w:r>
              <w:t>2.6 Loads &amp; servicing fees (extracted-unverified): Sales loads: none for Classes 1-4, Class 5 max front-end sales load 3.50% (FY2026: Class 5 investors paid $2,274,007 in loads to distributor/sub-distributor/selling agents).</w:t>
            </w:r>
          </w:p>
          <w:p>
            <w:r>
              <w:t>2.7 Early repurchase fee (extracted-unverified): 2.00% early repurchase fee, charged on repurchase of Units at any time prior to the day immediately preceding the one-year anniversary of purchase (first-in-first-out basis), payable to and retained by the Fund for remaining Investors, Board may waive where in the Fund's best interests without unfair discrimination.</w:t>
            </w:r>
          </w:p>
          <w:p>
            <w:r>
              <w:t>2.9 Fee peer percentile (computed): Cohort placement (evergreen private equity cohort): mgmt fee: 10th percentile of cohort (n=5), below the median of 1.4 | expense ratio (bases differ, see notes): 30th percentile of cohort (n=5), below the median of 3.19 | repurchase cap: 50th percentile of cohort (n=5), at the median of 5.</w:t>
            </w:r>
          </w:p>
          <w:p>
            <w:r>
              <w:t>Not applicable: 2.8 CIT only. 2.10 requires the plan committee's own value-for-fees determination, workflow output, not public product data (inputs live in cells 2.1-2.7).</w:t>
            </w:r>
          </w:p>
        </w:tc>
      </w:tr>
      <w:tr>
        <w:trPr>
          <w:cantSplit/>
        </w:trPr>
        <w:tc>
          <w:tcPr>
            <w:tcW w:type="dxa" w:w="1728"/>
          </w:tcPr>
          <w:p>
            <w:r>
              <w:t>3. Liquidity (i)</w:t>
            </w:r>
          </w:p>
        </w:tc>
        <w:tc>
          <w:tcPr>
            <w:tcW w:type="dxa" w:w="7632"/>
          </w:tcPr>
          <w:p>
            <w:r>
              <w:t>On liquidity (i), the wrapper deals by quarterly offers, 5% cap per quarter on outstanding shares, the repurchase program is active as of 2026-03-31 (cell 3.1), the plan's filed outflow proxy is 11.7% of the position per year (the plan record) and the structural verdict is partial with the scenario verdict conditional-weak under this plan (ILLUSTRATIVE, cell 3.9).</w:t>
            </w:r>
          </w:p>
          <w:p>
            <w:r>
              <w:t>Facts on record: 3.1 quarterly dealing, 5% cap per quarter. 3.3 repurchase cadence per year: 4. 3.9 structural verdict partial, plan-independent.</w:t>
            </w:r>
          </w:p>
          <w:p>
            <w:r>
              <w:t>3.1 Wrapper liquidity terms (extracted-unverified): Wrapper liquidity: unlisted tender-offer fund, no unitholder redemption right, repurchases only via written tenders at times/amounts/terms set by the Board in its sole discretion.</w:t>
            </w:r>
          </w:p>
          <w:p>
            <w:r>
              <w:t>3.2 Repurchase mechanics (extracted-unverified): Mechanics per live offer (SC TO-I filed 2026-08-03): tenders due 11:59 p.m. ET 2026-08-28, purchase price = class NAV as of Valuation Date 2026-09-30 (approx. one month after expiration), payment in cash or a non-interest-bearing uncertificated debt obligation for the Valuation-Date value, withdrawal rights until expiration, some Members must route the Letter of Transmittal via their Financial Advisor.</w:t>
            </w:r>
          </w:p>
          <w:p>
            <w:r>
              <w:t>3.3 Repurchase history (extracted-unverified): As disclosed (recorded 2026-08-15): live offer (launched 2026-08-03, expires 2026-08-28) for up to 11,957,272 Units, approx. 5% of the 239,145,444 Units outstanding at 5/31/2026.</w:t>
            </w:r>
          </w:p>
          <w:p>
            <w:r>
              <w:t>3.4 Portfolio liquidity profile (extracted-unverified): Master Fund holdings attributes table at 3/31/2026: every private investment category 'Not Redeemable', redemption frequency/notice N/A, remaining lives up to 12 years.</w:t>
            </w:r>
          </w:p>
          <w:p>
            <w:r>
              <w:t>3.6 Fund leverage &amp; facilities (extracted-unverified): $1.5 billion revolving credit facility at the Master Fund (amended and restated 2025-12-18, up from $800M, via syndication with three additional lenders plus an increased existing commitment), secured by Master Fund assets incl. Corporate Subsidiary and Lead Fund assets (the Lead Fund was organized to facilitate the facility).</w:t>
            </w:r>
          </w:p>
          <w:p>
            <w:r>
              <w:t>3.7 Plan participant liquidity demand (computed, this plan): Plan-side demand profile for this plan (Form 5500, plan year 2024-01-01 to 2024-12-31): 1,847 separated participants with balances = 36.1% of 5,120 accounts (the near-term liquidity tail), 3,281 active, 0 retirees in pay status, filed outflow proxy 11.69% of beginning net assets (Schedule H totals).</w:t>
            </w:r>
          </w:p>
          <w:p>
            <w:r>
              <w:t>3.8 Redemption stress test (computed, this plan): ILLUSTRATIVE redemption stress test for this plan: filed outflow proxy 11.69% of the position, slider assumption 10.4%, stressed demand 20.5% vs 20% annual wrapper capacity, EXCEEDS annual wrapper capacity (20.5% vs 20%). Unmet demand rolls into later windows (gating-equivalent outcome). Source: this plan's liquidity match.</w:t>
            </w:r>
          </w:p>
          <w:p>
            <w:r>
              <w:t>3.9 Product-to-plan liquidity match (computed, this plan): Structural liquidity verdict PARTIAL (dealing terms on record, plan-independent). Scenario verdict under this plan (ILLUSTRATIVE): CONDITIONAL-WEAK. Source: this plan's liquidity match.</w:t>
            </w:r>
          </w:p>
          <w:p>
            <w:r>
              <w:t>Not applicable: 3.5 CIT only.</w:t>
            </w:r>
          </w:p>
        </w:tc>
      </w:tr>
      <w:tr>
        <w:trPr>
          <w:cantSplit/>
        </w:trPr>
        <w:tc>
          <w:tcPr>
            <w:tcW w:type="dxa" w:w="1728"/>
          </w:tcPr>
          <w:p>
            <w:r>
              <w:t>4. Valuation (j)</w:t>
            </w:r>
          </w:p>
        </w:tc>
        <w:tc>
          <w:tcPr>
            <w:tcW w:type="dxa" w:w="7632"/>
          </w:tcPr>
          <w:p>
            <w:r>
              <w:t>On valuation (j), the holder transacts at NAV struck monthly (the registry descriptors) and the auditor is KPMG LLP (Big 4) (cell 4.5).</w:t>
            </w:r>
          </w:p>
          <w:p>
            <w:r>
              <w:t>Facts on record: 4.5 KPMG LLP (Big 4).</w:t>
            </w:r>
          </w:p>
          <w:p>
            <w:r>
              <w:t>4.1 Valuation policy &amp; NAV frequency (extracted-unverified): NAV FREQUENCY: monthly, NAV of the Master Fund and each class calculated as of close of business on the last business day of each calendar month, plus any distribution date and other Board-determined times ('Determination Dates'), expenses accrued monthly.</w:t>
            </w:r>
          </w:p>
          <w:p>
            <w:r>
              <w:t>4.2 Fair-value hierarchy (L1/2/3) (extracted-unverified): Master Fund consolidated hierarchy at 3/31/2026: Level 1 $581,361,401 (common stock $48.1M + short-term other-investment-companies $533.3M), Level 2 $0, Level 3 $325,527,462 (co-investments $315.9M + primary funds $9.7M), investments valued at NAV as practical expedient $5,754,271,490 (co-investments $2,053.3M, primaries $562.8M, secondaries $3,138.2M), total investments $6,661,160,353 - i.e., 86.4% NAV-expedient, 4.9% Level 3.</w:t>
            </w:r>
          </w:p>
          <w:p>
            <w:r>
              <w:t>4.3 Independent valuation agent (partial): PARTIAL: no independent valuation agent is NAMED and no standing engagement is disclosed.</w:t>
            </w:r>
          </w:p>
          <w:p>
            <w:r>
              <w:t>4.4 Methodology by asset type (extracted-unverified): By asset type (Master Fund Note 1a + L3 quantitative table at 3/31/2026): direct investments/certain co-investments, market or income approach (techniques printed: recent round of financing/option pricing model with term 1.75-5.00 and volatility 40-75%, market comparables with EBITDA multiples 8.25x-18.30x avg 13.21x, guideline transaction multiples, discounted cash flow).</w:t>
            </w:r>
          </w:p>
          <w:p>
            <w:r>
              <w:t>4.5 Auditor &amp; opinion (extracted-unverified): KPMG LLP, New York, New York, report dated May 29, 2026, unqualified opinion on the Fund's FY2026 financial statements and five years of financial highlights ('present fairly, in all material respects'), PCAOB-registered, signature block states auditor since 2021.</w:t>
            </w:r>
          </w:p>
          <w:p>
            <w:r>
              <w:t>4.6 NAV restatement history (extracted-unverified): None identified: searched all four on-disk documents (N-CSR FY2026, N-2 2026-07-30, SC TO-I 2026-08-03, 424B3 2025-08-01) for 'restat' and 'error correction' on 2026-08-15 - zero NAV-restatement hits, every occurrence is 'amended and restated' credit-agreement/LLC-certificate boilerplate (N-CSR 1, N-2 13, 424B3 6, SC TO-I 0).</w:t>
            </w:r>
          </w:p>
          <w:p>
            <w:r>
              <w:t>Not applicable: 4.7 no market price for a non-listed NAV-transaction wrapper. 4.8 sub-annual return series not free-public for this wrapper. 4.9 CIT only.</w:t>
            </w:r>
          </w:p>
        </w:tc>
      </w:tr>
      <w:tr>
        <w:trPr>
          <w:cantSplit/>
        </w:trPr>
        <w:tc>
          <w:tcPr>
            <w:tcW w:type="dxa" w:w="1728"/>
          </w:tcPr>
          <w:p>
            <w:r>
              <w:t>5. Performance Benchmarks (k)</w:t>
            </w:r>
          </w:p>
        </w:tc>
        <w:tc>
          <w:tcPr>
            <w:tcW w:type="dxa" w:w="7632"/>
          </w:tcPr>
          <w:p>
            <w:r>
              <w:t>On performance benchmarks (k), the meaningful benchmark is Cambridge Associates US PE benchmark, scored 8 of 10 (cell 5.3) and meaningful benchmark by descriptor. No comparison until its series is held.</w:t>
            </w:r>
          </w:p>
          <w:p>
            <w:r>
              <w:t>Facts on record: 5.3 Cambridge PE benchmark selected by descriptor, 8 of 10.</w:t>
            </w:r>
          </w:p>
          <w:p>
            <w:r>
              <w:t>5.1 Self-declared benchmark (extracted-unverified): Self-declared comparison index in the annual report: MSCI World Index, used in both the cumulative-return graph (hypothetical $50,000,000 in Class 4 units vs the index) and the Average Annual Total Returns table (MSCI World rows measured from Fund inception 09/30/14: 1yr 18.90%, 5yr 10.27%, 10yr 11.80%, SI 10.16%).</w:t>
            </w:r>
          </w:p>
          <w:p>
            <w:r>
              <w:t>5.3 Alt asset-class indices (computed): Candidates evaluated for the meaningful-benchmark slot, paragraph (k) (Tark benchmark rubric, 10 points, threshold 6 of 10, strategy gate below 2 of 3 ineligible, an index published by the fund's own adviser ineligible).</w:t>
            </w:r>
          </w:p>
          <w:p>
            <w:r>
              <w:t>5.4 Peer universe &amp; returns (computed): Peer cohort: evergreen private equity cohort (n=5: Hamilton Lane Private Assets Fund, StepStone Private Markets, KKR Private Equity Conglomerate LLC, Ares Private Markets Fund, AMG Pantheon Fund, LLC).</w:t>
            </w:r>
          </w:p>
          <w:p>
            <w:r>
              <w:t>5.5 PME / Direct Alpha inputs (computed): PME inputs (computed, public market series Listed private equity investable proxy (PSP), reference comparison, not the meaningful benchmark): window 2019-03-31 to 2026-03-31 (series comparison, clipped: proxy series begins 2018-07-18, 3 fiscal year(s) outside it dropped).</w:t>
            </w:r>
          </w:p>
          <w:p>
            <w:r>
              <w:t>5.6 Benchmark suitability memo (computed): Benchmark suitability (Tark benchmark rubric, 10 points).</w:t>
            </w:r>
          </w:p>
          <w:p>
            <w:r>
              <w:t>5.7 Case-law tracker (partial): Anderson v. Intel Corp. Investment Policy Committee, No. 25-498 (U.S.).</w:t>
            </w:r>
          </w:p>
        </w:tc>
      </w:tr>
      <w:tr>
        <w:trPr>
          <w:cantSplit/>
        </w:trPr>
        <w:tc>
          <w:tcPr>
            <w:tcW w:type="dxa" w:w="1728"/>
          </w:tcPr>
          <w:p>
            <w:r>
              <w:t>6. Complexity (l)</w:t>
            </w:r>
          </w:p>
        </w:tc>
        <w:tc>
          <w:tcPr>
            <w:tcW w:type="dxa" w:w="7632"/>
          </w:tcPr>
          <w:p>
            <w:r>
              <w:t>On complexity (l), the wrapper is tender-offer fund (cell 6.1), tax reporting is Form 1099 (cell 6.4) and cells 6.6 and 6.8 are advisor-completed under paragraph (l).</w:t>
            </w:r>
          </w:p>
          <w:p>
            <w:r>
              <w:t>Facts on record: 6.1 tender-offer fund. 6.4 Form 1099.</w:t>
            </w:r>
          </w:p>
          <w:p>
            <w:r>
              <w:t>6.1 Structure map (extracted-unverified): Master-feeder: AMG Pantheon Fund, LLC (Delaware LLC, closed-end non-diversified, perpetual term, five unit classes, CIK 1609211) is a feeder investing substantially all assets in AMG Pantheon Master Fund, LLC (affiliate, Fund owned 96% of Master units at 3/31/2026).</w:t>
            </w:r>
          </w:p>
          <w:p>
            <w:r>
              <w:t>6.2 Strategy &amp; instrument complexity (extracted-unverified): Evergreen private-equity vehicle, objective long-term capital appreciation, strategy mix at 3/31/2026 (Master SOI): secondaries $3,138.2M + co-investments $2,369.1M + primary funds $572.5M + common stock $48.1M + short-term $533.3M = $6,661.2M total investments.</w:t>
            </w:r>
          </w:p>
          <w:p>
            <w:r>
              <w:t>6.3 Conflicts &amp; affiliated transactions (extracted-unverified): Printed conflicts web: AMG (Affiliated Managers Group, Inc.) indirectly owns a majority of the Adviser (Pantheon), the Administrator (AMG Funds LLC, AMG's US wealth platform) and Distributor (AMG Distributors, Inc., wholly-owned by the Administrator) sit on the AMG side, while sub-administrator and sub-distributor (Pantheon Securities, LLC) are Adviser affiliates.</w:t>
            </w:r>
          </w:p>
          <w:p>
            <w:r>
              <w:t>6.4 Tax reporting (1099 vs K-1) (extracted-unverified): Form 1099-DIV literally printed (Other Tax Information): investors receive Form 1099-DIV showing the tax status of distributions, no K-1.</w:t>
            </w:r>
          </w:p>
          <w:p>
            <w:r>
              <w:t>6.5 Service-provider web (extracted-unverified): Adviser/Investment Manager: Pantheon Ventures (US) LP (San Francisco, also sub-administrator).</w:t>
            </w:r>
          </w:p>
          <w:p>
            <w:r>
              <w:t>Not applicable: 6.6 requires plan-specific recordkeeper/trading integration facts, workflow cell completed per plan engagement, not public product data. 6.7 requires plan-committee participant-communication assessment, workflow cell, product-side inputs already evidenced in 6.1/6.2/6.4. 6.8 workflow, not data.</w:t>
            </w:r>
          </w:p>
        </w:tc>
      </w:tr>
    </w:tbl>
    <w:p>
      <w:pPr>
        <w:pStyle w:val="Heading2"/>
        <w:keepNext/>
      </w:pPr>
      <w:r>
        <w:t>Fees and terms on record</w:t>
      </w:r>
    </w:p>
    <w:p>
      <w:pPr>
        <w:keepNext/>
      </w:pPr>
      <w:r>
        <w:t>Each line is the fact read from the cell, or the cell's status word when none is on record. Full text and provenance are in the evidence ledger.</w:t>
      </w:r>
    </w:p>
    <w:tbl>
      <w:tblPr>
        <w:tblStyle w:val="TableGrid"/>
        <w:tblW w:type="dxa" w:w="9360"/>
        <w:tblLayout w:type="fixed"/>
        <w:tblLook w:firstColumn="1" w:firstRow="1" w:lastColumn="0" w:lastRow="0" w:noHBand="0" w:noVBand="1" w:val="04A0"/>
      </w:tblPr>
      <w:tblGrid>
        <w:gridCol w:w="2880"/>
        <w:gridCol w:w="3600"/>
        <w:gridCol w:w="2880"/>
      </w:tblGrid>
      <w:tr>
        <w:trPr>
          <w:tblHeader/>
          <w:cantSplit/>
        </w:trPr>
        <w:tc>
          <w:tcPr>
            <w:tcW w:type="dxa" w:w="2880"/>
          </w:tcPr>
          <w:p>
            <w:r>
              <w:t>Cell</w:t>
            </w:r>
          </w:p>
        </w:tc>
        <w:tc>
          <w:tcPr>
            <w:tcW w:type="dxa" w:w="3600"/>
          </w:tcPr>
          <w:p>
            <w:r>
              <w:t>Headline</w:t>
            </w:r>
          </w:p>
        </w:tc>
        <w:tc>
          <w:tcPr>
            <w:tcW w:type="dxa" w:w="2880"/>
          </w:tcPr>
          <w:p>
            <w:r>
              <w:t>Status</w:t>
            </w:r>
          </w:p>
        </w:tc>
      </w:tr>
      <w:tr>
        <w:trPr>
          <w:cantSplit/>
        </w:trPr>
        <w:tc>
          <w:tcPr>
            <w:tcW w:type="dxa" w:w="2880"/>
          </w:tcPr>
          <w:p>
            <w:r>
              <w:t>2.1 Management fee (rate AND base)</w:t>
            </w:r>
          </w:p>
        </w:tc>
        <w:tc>
          <w:tcPr>
            <w:tcW w:type="dxa" w:w="3600"/>
          </w:tcPr>
          <w:p>
            <w:r>
              <w:t>0.70% on net assets</w:t>
            </w:r>
          </w:p>
        </w:tc>
        <w:tc>
          <w:tcPr>
            <w:tcW w:type="dxa" w:w="2880"/>
          </w:tcPr>
          <w:p>
            <w:r>
              <w:t>extracted-unverified</w:t>
            </w:r>
          </w:p>
        </w:tc>
      </w:tr>
      <w:tr>
        <w:trPr>
          <w:cantSplit/>
        </w:trPr>
        <w:tc>
          <w:tcPr>
            <w:tcW w:type="dxa" w:w="2880"/>
          </w:tcPr>
          <w:p>
            <w:r>
              <w:t>2.2 Incentive fee terms</w:t>
            </w:r>
          </w:p>
        </w:tc>
        <w:tc>
          <w:tcPr>
            <w:tcW w:type="dxa" w:w="3600"/>
          </w:tcPr>
          <w:p>
            <w:r>
              <w:t>incentive fee: none</w:t>
            </w:r>
          </w:p>
        </w:tc>
        <w:tc>
          <w:tcPr>
            <w:tcW w:type="dxa" w:w="2880"/>
          </w:tcPr>
          <w:p>
            <w:r>
              <w:t>extracted-unverified</w:t>
            </w:r>
          </w:p>
        </w:tc>
      </w:tr>
      <w:tr>
        <w:trPr>
          <w:cantSplit/>
        </w:trPr>
        <w:tc>
          <w:tcPr>
            <w:tcW w:type="dxa" w:w="2880"/>
          </w:tcPr>
          <w:p>
            <w:r>
              <w:t>2.3 Total expense ratio &amp; waivers</w:t>
            </w:r>
          </w:p>
        </w:tc>
        <w:tc>
          <w:tcPr>
            <w:tcW w:type="dxa" w:w="3600"/>
          </w:tcPr>
          <w:p>
            <w:r>
              <w:t>2.38% expense ratio, total annual expenses of the inception class, classes range 2.38% to 3.38%</w:t>
            </w:r>
          </w:p>
        </w:tc>
        <w:tc>
          <w:tcPr>
            <w:tcW w:type="dxa" w:w="2880"/>
          </w:tcPr>
          <w:p>
            <w:r>
              <w:t>extracted-unverified</w:t>
            </w:r>
          </w:p>
        </w:tc>
      </w:tr>
      <w:tr>
        <w:trPr>
          <w:cantSplit/>
        </w:trPr>
        <w:tc>
          <w:tcPr>
            <w:tcW w:type="dxa" w:w="2880"/>
          </w:tcPr>
          <w:p>
            <w:r>
              <w:t>2.4 AFFE</w:t>
            </w:r>
          </w:p>
        </w:tc>
        <w:tc>
          <w:tcPr>
            <w:tcW w:type="dxa" w:w="3600"/>
          </w:tcPr>
          <w:p>
            <w:r>
              <w:t>AFFE 0.81%</w:t>
            </w:r>
          </w:p>
        </w:tc>
        <w:tc>
          <w:tcPr>
            <w:tcW w:type="dxa" w:w="2880"/>
          </w:tcPr>
          <w:p>
            <w:r>
              <w:t>extracted-unverified</w:t>
            </w:r>
          </w:p>
        </w:tc>
      </w:tr>
      <w:tr>
        <w:trPr>
          <w:cantSplit/>
        </w:trPr>
        <w:tc>
          <w:tcPr>
            <w:tcW w:type="dxa" w:w="2880"/>
          </w:tcPr>
          <w:p>
            <w:r>
              <w:t>2.6 Loads &amp; servicing fees</w:t>
            </w:r>
          </w:p>
        </w:tc>
        <w:tc>
          <w:tcPr>
            <w:tcW w:type="dxa" w:w="3600"/>
          </w:tcPr>
          <w:p>
            <w:r>
              <w:t>no fact on record for this cell</w:t>
            </w:r>
          </w:p>
        </w:tc>
        <w:tc>
          <w:tcPr>
            <w:tcW w:type="dxa" w:w="2880"/>
          </w:tcPr>
          <w:p>
            <w:r>
              <w:t>extracted-unverified</w:t>
            </w:r>
          </w:p>
        </w:tc>
      </w:tr>
      <w:tr>
        <w:trPr>
          <w:cantSplit/>
        </w:trPr>
        <w:tc>
          <w:tcPr>
            <w:tcW w:type="dxa" w:w="2880"/>
          </w:tcPr>
          <w:p>
            <w:r>
              <w:t>2.7 Early repurchase fee</w:t>
            </w:r>
          </w:p>
        </w:tc>
        <w:tc>
          <w:tcPr>
            <w:tcW w:type="dxa" w:w="3600"/>
          </w:tcPr>
          <w:p>
            <w:r>
              <w:t>early repurchase fee: 2% &lt; 1 year</w:t>
            </w:r>
          </w:p>
        </w:tc>
        <w:tc>
          <w:tcPr>
            <w:tcW w:type="dxa" w:w="2880"/>
          </w:tcPr>
          <w:p>
            <w:r>
              <w:t>extracted-unverified</w:t>
            </w:r>
          </w:p>
        </w:tc>
      </w:tr>
      <w:tr>
        <w:trPr>
          <w:cantSplit/>
        </w:trPr>
        <w:tc>
          <w:tcPr>
            <w:tcW w:type="dxa" w:w="2880"/>
          </w:tcPr>
          <w:p>
            <w:r>
              <w:t>6.4 Tax reporting (1099 vs K-1)</w:t>
            </w:r>
          </w:p>
        </w:tc>
        <w:tc>
          <w:tcPr>
            <w:tcW w:type="dxa" w:w="3600"/>
          </w:tcPr>
          <w:p>
            <w:r>
              <w:t>Form 1099</w:t>
            </w:r>
          </w:p>
        </w:tc>
        <w:tc>
          <w:tcPr>
            <w:tcW w:type="dxa" w:w="2880"/>
          </w:tcPr>
          <w:p>
            <w:r>
              <w:t>extracted-unverified</w:t>
            </w:r>
          </w:p>
        </w:tc>
      </w:tr>
    </w:tbl>
    <w:p>
      <w:pPr>
        <w:pStyle w:val="Heading1"/>
        <w:keepNext/>
      </w:pPr>
      <w:r>
        <w:t>Benchmark selection and justification</w:t>
      </w:r>
    </w:p>
    <w:p>
      <w:r>
        <w:t>Return basis for every comparison in this section: filed fiscal-year returns.</w:t>
      </w:r>
    </w:p>
    <w:p>
      <w:pPr>
        <w:pStyle w:val="Heading2"/>
        <w:keepNext/>
      </w:pPr>
      <w:r>
        <w:t>Ledger: every candidate and its outcome</w:t>
      </w:r>
    </w:p>
    <w:p>
      <w:pPr>
        <w:keepNext/>
      </w:pPr>
      <w:r>
        <w:t>Tark benchmark rubric, 10 points, threshold 6 of 10, strategy gate 2 of 3, affiliated providers ineligible. Max attainable by an eligible candidate on held data 8 of 10.</w:t>
      </w:r>
    </w:p>
    <w:tbl>
      <w:tblPr>
        <w:tblStyle w:val="TableGrid"/>
        <w:tblW w:type="dxa" w:w="9360"/>
        <w:tblLayout w:type="fixed"/>
        <w:tblLook w:firstColumn="1" w:firstRow="1" w:lastColumn="0" w:lastRow="0" w:noHBand="0" w:noVBand="1" w:val="04A0"/>
      </w:tblPr>
      <w:tblGrid>
        <w:gridCol w:w="1584"/>
        <w:gridCol w:w="2736"/>
        <w:gridCol w:w="1584"/>
        <w:gridCol w:w="864"/>
        <w:gridCol w:w="2592"/>
      </w:tblGrid>
      <w:tr>
        <w:trPr>
          <w:tblHeader/>
          <w:cantSplit/>
        </w:trPr>
        <w:tc>
          <w:tcPr>
            <w:tcW w:type="dxa" w:w="1584"/>
          </w:tcPr>
          <w:p>
            <w:r>
              <w:t>Slot</w:t>
            </w:r>
          </w:p>
        </w:tc>
        <w:tc>
          <w:tcPr>
            <w:tcW w:type="dxa" w:w="2736"/>
          </w:tcPr>
          <w:p>
            <w:r>
              <w:t>Candidate</w:t>
            </w:r>
          </w:p>
        </w:tc>
        <w:tc>
          <w:tcPr>
            <w:tcW w:type="dxa" w:w="1584"/>
          </w:tcPr>
          <w:p>
            <w:r>
              <w:t>Lane</w:t>
            </w:r>
          </w:p>
        </w:tc>
        <w:tc>
          <w:tcPr>
            <w:tcW w:type="dxa" w:w="864"/>
          </w:tcPr>
          <w:p>
            <w:r>
              <w:t>Score</w:t>
            </w:r>
          </w:p>
        </w:tc>
        <w:tc>
          <w:tcPr>
            <w:tcW w:type="dxa" w:w="2592"/>
          </w:tcPr>
          <w:p>
            <w:r>
              <w:t>Outcome</w:t>
            </w:r>
          </w:p>
        </w:tc>
      </w:tr>
      <w:tr>
        <w:trPr>
          <w:cantSplit/>
        </w:trPr>
        <w:tc>
          <w:tcPr>
            <w:tcW w:type="dxa" w:w="1584"/>
          </w:tcPr>
          <w:p>
            <w:r>
              <w:t>Meaningful benchmark (paragraph (k))</w:t>
            </w:r>
          </w:p>
        </w:tc>
        <w:tc>
          <w:tcPr>
            <w:tcW w:type="dxa" w:w="2736"/>
          </w:tcPr>
          <w:p>
            <w:r>
              <w:t>Cambridge Associates US PE benchmark</w:t>
            </w:r>
          </w:p>
        </w:tc>
        <w:tc>
          <w:tcPr>
            <w:tcW w:type="dxa" w:w="1584"/>
          </w:tcPr>
          <w:p>
            <w:r>
              <w:t>published strategy index</w:t>
            </w:r>
          </w:p>
        </w:tc>
        <w:tc>
          <w:tcPr>
            <w:tcW w:type="dxa" w:w="864"/>
          </w:tcPr>
          <w:p>
            <w:r>
              <w:t>8 of 10</w:t>
            </w:r>
          </w:p>
        </w:tc>
        <w:tc>
          <w:tcPr>
            <w:tcW w:type="dxa" w:w="2592"/>
          </w:tcPr>
          <w:p>
            <w:r>
              <w:t>selected. Meaningful benchmark by descriptor. No comparison until its series is held.</w:t>
            </w:r>
          </w:p>
        </w:tc>
      </w:tr>
      <w:tr>
        <w:trPr>
          <w:cantSplit/>
        </w:trPr>
        <w:tc>
          <w:tcPr>
            <w:tcW w:type="dxa" w:w="1584"/>
          </w:tcPr>
          <w:p>
            <w:r>
              <w:t>Reference comparison, not the meaningful benchmark</w:t>
            </w:r>
          </w:p>
        </w:tc>
        <w:tc>
          <w:tcPr>
            <w:tcW w:type="dxa" w:w="2736"/>
          </w:tcPr>
          <w:p>
            <w:r>
              <w:t>Listed private equity investable proxy (PSP)</w:t>
            </w:r>
          </w:p>
        </w:tc>
        <w:tc>
          <w:tcPr>
            <w:tcW w:type="dxa" w:w="1584"/>
          </w:tcPr>
          <w:p>
            <w:r>
              <w:t>exchange-traded strategy proxy</w:t>
            </w:r>
          </w:p>
        </w:tc>
        <w:tc>
          <w:tcPr>
            <w:tcW w:type="dxa" w:w="864"/>
          </w:tcPr>
          <w:p>
            <w:r>
              <w:t>7 of 10</w:t>
            </w:r>
          </w:p>
        </w:tc>
        <w:tc>
          <w:tcPr>
            <w:tcW w:type="dxa" w:w="2592"/>
          </w:tcPr>
          <w:p>
            <w:r>
              <w:t>KS-PME 1.5919, Direct Alpha 6.87%/yr, 2019-03-31 to 2026-03-31</w:t>
            </w:r>
          </w:p>
        </w:tc>
      </w:tr>
      <w:tr>
        <w:trPr>
          <w:cantSplit/>
        </w:trPr>
        <w:tc>
          <w:tcPr>
            <w:tcW w:type="dxa" w:w="1584"/>
          </w:tcPr>
          <w:p>
            <w:r>
              <w:t>SEC-required comparator</w:t>
            </w:r>
          </w:p>
        </w:tc>
        <w:tc>
          <w:tcPr>
            <w:tcW w:type="dxa" w:w="2736"/>
          </w:tcPr>
          <w:p>
            <w:r>
              <w:t>MSCI World Index</w:t>
            </w:r>
          </w:p>
        </w:tc>
        <w:tc>
          <w:tcPr>
            <w:tcW w:type="dxa" w:w="1584"/>
          </w:tcPr>
          <w:p>
            <w:r>
              <w:t>fund-declared benchmark or SEC-required comparator</w:t>
            </w:r>
          </w:p>
        </w:tc>
        <w:tc>
          <w:tcPr>
            <w:tcW w:type="dxa" w:w="864"/>
          </w:tcPr>
          <w:p>
            <w:r/>
          </w:p>
        </w:tc>
        <w:tc>
          <w:tcPr>
            <w:tcW w:type="dxa" w:w="2592"/>
          </w:tcPr>
          <w:p>
            <w:r>
              <w:t>held, scored 6 of 10, fails the strategy gate (strategy match 1 of 3), KS-PME 1.0483, Direct Alpha 0.68%/yr</w:t>
            </w:r>
          </w:p>
        </w:tc>
      </w:tr>
      <w:tr>
        <w:trPr>
          <w:cantSplit/>
        </w:trPr>
        <w:tc>
          <w:tcPr>
            <w:tcW w:type="dxa" w:w="1584"/>
          </w:tcPr>
          <w:p>
            <w:r>
              <w:t>Peer comparison (paragraphs (g) and (h))</w:t>
            </w:r>
          </w:p>
        </w:tc>
        <w:tc>
          <w:tcPr>
            <w:tcW w:type="dxa" w:w="2736"/>
          </w:tcPr>
          <w:p>
            <w:r>
              <w:t>evergreen private equity cohort</w:t>
            </w:r>
          </w:p>
        </w:tc>
        <w:tc>
          <w:tcPr>
            <w:tcW w:type="dxa" w:w="1584"/>
          </w:tcPr>
          <w:p>
            <w:r>
              <w:t>peer cohort</w:t>
            </w:r>
          </w:p>
        </w:tc>
        <w:tc>
          <w:tcPr>
            <w:tcW w:type="dxa" w:w="864"/>
          </w:tcPr>
          <w:p>
            <w:r>
              <w:t>not scored</w:t>
            </w:r>
          </w:p>
        </w:tc>
        <w:tc>
          <w:tcPr>
            <w:tcW w:type="dxa" w:w="2592"/>
          </w:tcPr>
          <w:p>
            <w:r>
              <w:t>relative wealth ratio 0.8813, annualized excess return -3.11%/yr (not a public market equivalent), FY2023 to FY2026 (years to 03-31)</w:t>
            </w:r>
          </w:p>
        </w:tc>
      </w:tr>
      <w:tr>
        <w:trPr>
          <w:cantSplit/>
        </w:trPr>
        <w:tc>
          <w:tcPr>
            <w:tcW w:type="dxa" w:w="1584"/>
          </w:tcPr>
          <w:p>
            <w:r>
              <w:t>rejected</w:t>
            </w:r>
          </w:p>
        </w:tc>
        <w:tc>
          <w:tcPr>
            <w:tcW w:type="dxa" w:w="2736"/>
          </w:tcPr>
          <w:p>
            <w:r>
              <w:t>Listed private equity investable proxy (PSP)</w:t>
            </w:r>
          </w:p>
        </w:tc>
        <w:tc>
          <w:tcPr>
            <w:tcW w:type="dxa" w:w="1584"/>
          </w:tcPr>
          <w:p>
            <w:r>
              <w:t>exchange-traded strategy proxy</w:t>
            </w:r>
          </w:p>
        </w:tc>
        <w:tc>
          <w:tcPr>
            <w:tcW w:type="dxa" w:w="864"/>
          </w:tcPr>
          <w:p>
            <w:r>
              <w:t>7 of 10</w:t>
            </w:r>
          </w:p>
        </w:tc>
        <w:tc>
          <w:tcPr>
            <w:tcW w:type="dxa" w:w="2592"/>
          </w:tcPr>
          <w:p>
            <w:r>
              <w:t>ranked below the selected candidate: 7 of 10 vs 8 of 10 for Cambridge PE benchmark</w:t>
            </w:r>
          </w:p>
        </w:tc>
      </w:tr>
      <w:tr>
        <w:trPr>
          <w:cantSplit/>
        </w:trPr>
        <w:tc>
          <w:tcPr>
            <w:tcW w:type="dxa" w:w="1584"/>
          </w:tcPr>
          <w:p>
            <w:r>
              <w:t>rejected</w:t>
            </w:r>
          </w:p>
        </w:tc>
        <w:tc>
          <w:tcPr>
            <w:tcW w:type="dxa" w:w="2736"/>
          </w:tcPr>
          <w:p>
            <w:r>
              <w:t>MSCI World investable proxy (URTH)</w:t>
            </w:r>
          </w:p>
        </w:tc>
        <w:tc>
          <w:tcPr>
            <w:tcW w:type="dxa" w:w="1584"/>
          </w:tcPr>
          <w:p>
            <w:r>
              <w:t>fund-declared benchmark or SEC-required comparator</w:t>
            </w:r>
          </w:p>
        </w:tc>
        <w:tc>
          <w:tcPr>
            <w:tcW w:type="dxa" w:w="864"/>
          </w:tcPr>
          <w:p>
            <w:r>
              <w:t>6 of 10</w:t>
            </w:r>
          </w:p>
        </w:tc>
        <w:tc>
          <w:tcPr>
            <w:tcW w:type="dxa" w:w="2592"/>
          </w:tcPr>
          <w:p>
            <w:r>
              <w:t>rejected: strategy gate (score 6 of 10 but strategy match 1 of 3)</w:t>
            </w:r>
          </w:p>
        </w:tc>
      </w:tr>
    </w:tbl>
    <w:p>
      <w:pPr>
        <w:keepNext/>
      </w:pPr>
      <w:r>
        <w:t>The rubric's criteria, 10 points in all:</w:t>
      </w:r>
    </w:p>
    <w:tbl>
      <w:tblPr>
        <w:tblStyle w:val="TableGrid"/>
        <w:tblW w:type="dxa" w:w="9360"/>
        <w:tblLayout w:type="fixed"/>
        <w:tblLook w:firstColumn="1" w:firstRow="1" w:lastColumn="0" w:lastRow="0" w:noHBand="0" w:noVBand="1" w:val="04A0"/>
      </w:tblPr>
      <w:tblGrid>
        <w:gridCol w:w="2592"/>
        <w:gridCol w:w="1008"/>
        <w:gridCol w:w="5760"/>
      </w:tblGrid>
      <w:tr>
        <w:trPr>
          <w:tblHeader/>
          <w:cantSplit/>
        </w:trPr>
        <w:tc>
          <w:tcPr>
            <w:tcW w:type="dxa" w:w="2592"/>
          </w:tcPr>
          <w:p>
            <w:r>
              <w:t>Criterion</w:t>
            </w:r>
          </w:p>
        </w:tc>
        <w:tc>
          <w:tcPr>
            <w:tcW w:type="dxa" w:w="1008"/>
          </w:tcPr>
          <w:p>
            <w:r>
              <w:t>Points</w:t>
            </w:r>
          </w:p>
        </w:tc>
        <w:tc>
          <w:tcPr>
            <w:tcW w:type="dxa" w:w="5760"/>
          </w:tcPr>
          <w:p>
            <w:r>
              <w:t>Definition</w:t>
            </w:r>
          </w:p>
        </w:tc>
      </w:tr>
      <w:tr>
        <w:trPr>
          <w:cantSplit/>
        </w:trPr>
        <w:tc>
          <w:tcPr>
            <w:tcW w:type="dxa" w:w="2592"/>
          </w:tcPr>
          <w:p>
            <w:r>
              <w:t>Strategy match</w:t>
            </w:r>
          </w:p>
        </w:tc>
        <w:tc>
          <w:tcPr>
            <w:tcW w:type="dxa" w:w="1008"/>
          </w:tcPr>
          <w:p>
            <w:r>
              <w:t>3</w:t>
            </w:r>
          </w:p>
        </w:tc>
        <w:tc>
          <w:tcPr>
            <w:tcW w:type="dxa" w:w="5760"/>
          </w:tcPr>
          <w:p>
            <w:r>
              <w:t>how closely the candidate's asset class and sub-strategy match the fund's, 3 for the same sub-strategy, 2 for the same asset class, 1 for an adjacent one</w:t>
            </w:r>
          </w:p>
        </w:tc>
      </w:tr>
      <w:tr>
        <w:trPr>
          <w:cantSplit/>
        </w:trPr>
        <w:tc>
          <w:tcPr>
            <w:tcW w:type="dxa" w:w="2592"/>
          </w:tcPr>
          <w:p>
            <w:r>
              <w:t>Risk and liquidity match</w:t>
            </w:r>
          </w:p>
        </w:tc>
        <w:tc>
          <w:tcPr>
            <w:tcW w:type="dxa" w:w="1008"/>
          </w:tcPr>
          <w:p>
            <w:r>
              <w:t>3</w:t>
            </w:r>
          </w:p>
        </w:tc>
        <w:tc>
          <w:tcPr>
            <w:tcW w:type="dxa" w:w="5760"/>
          </w:tcPr>
          <w:p>
            <w:r>
              <w:t>whether the candidate's liquidity process matches the fund's dealing terms on record (cadence, caps, gating, program status), 3 for a like-for-like process</w:t>
            </w:r>
          </w:p>
        </w:tc>
      </w:tr>
      <w:tr>
        <w:trPr>
          <w:cantSplit/>
        </w:trPr>
        <w:tc>
          <w:tcPr>
            <w:tcW w:type="dxa" w:w="2592"/>
          </w:tcPr>
          <w:p>
            <w:r>
              <w:t>Provider independence</w:t>
            </w:r>
          </w:p>
        </w:tc>
        <w:tc>
          <w:tcPr>
            <w:tcW w:type="dxa" w:w="1008"/>
          </w:tcPr>
          <w:p>
            <w:r>
              <w:t>2</w:t>
            </w:r>
          </w:p>
        </w:tc>
        <w:tc>
          <w:tcPr>
            <w:tcW w:type="dxa" w:w="5760"/>
          </w:tcPr>
          <w:p>
            <w:r>
              <w:t>2 unless the registry's affiliation map ties the candidate's publisher to one of the fund's advisers, in which case 0 and the candidate is ineligible</w:t>
            </w:r>
          </w:p>
        </w:tc>
      </w:tr>
      <w:tr>
        <w:trPr>
          <w:cantSplit/>
        </w:trPr>
        <w:tc>
          <w:tcPr>
            <w:tcW w:type="dxa" w:w="2592"/>
          </w:tcPr>
          <w:p>
            <w:r>
              <w:t>Data held</w:t>
            </w:r>
          </w:p>
        </w:tc>
        <w:tc>
          <w:tcPr>
            <w:tcW w:type="dxa" w:w="1008"/>
          </w:tcPr>
          <w:p>
            <w:r>
              <w:t>2</w:t>
            </w:r>
          </w:p>
        </w:tc>
        <w:tc>
          <w:tcPr>
            <w:tcW w:type="dxa" w:w="5760"/>
          </w:tcPr>
          <w:p>
            <w:r>
              <w:t>2 when the candidate's series is in the record, 0 when it is only cited</w:t>
            </w:r>
          </w:p>
        </w:tc>
      </w:tr>
    </w:tbl>
    <w:p>
      <w:r>
        <w:t>Metrics, each defined once: KS-PME: the fund's growth divided by the growth of the same cash in the public market series over the same window (Kaplan-Schoar public market equivalent). Above 1.0 the fund led the series. Direct Alpha: the fund's annualized excess return over the public market series on the same two flows (Gredil, Griffiths and Stucke). Zero is series-like. relative wealth ratio: the fund's cumulative growth divided by the comparator's over identical periods. Above 1.0 the fund grew more. Not a PME: the comparator is appraisal-based and cannot be bought.</w:t>
      </w:r>
    </w:p>
    <w:p>
      <w:pPr>
        <w:pStyle w:val="Heading2"/>
        <w:keepNext/>
      </w:pPr>
      <w:r>
        <w:t>Meaningful benchmark (paragraph (k)): Cambridge Associates US PE benchmark (score 8 of 10)</w:t>
      </w:r>
    </w:p>
    <w:p>
      <w:r>
        <w:t>Meaningful benchmark by descriptor. No comparison until its series is held. The candidate is selected on its own descriptors. No number is substituted.</w:t>
      </w:r>
    </w:p>
    <w:p>
      <w:r>
        <w:t>Selection recorded 2026-09-04, record 2b5fedd2. Rubric v3.1. The full record hash is 2b5fedd2ceaa09ac45a7ae6fe9549c4a0b9335d9c3b8528373e93d266b05b596.</w:t>
      </w:r>
    </w:p>
    <w:p>
      <w:pPr>
        <w:pStyle w:val="ListBullet"/>
      </w:pPr>
      <w:r>
        <w:t>Strategy match 3 of 3: a private-market index of private equity for a evergreen private equity fund</w:t>
      </w:r>
    </w:p>
    <w:p>
      <w:pPr>
        <w:pStyle w:val="ListBullet"/>
      </w:pPr>
      <w:r>
        <w:t>Risk and liquidity match 3 of 3: appraisal-based index without a dealing mechanism of its own against a periodically dealt NAV fund with no proration and no suspension disclosed in the filings on record (quarterly dealing at NAV under 5% cap per quarter): the pricing process and the liquidity process both match</w:t>
      </w:r>
    </w:p>
    <w:p>
      <w:pPr>
        <w:pStyle w:val="ListBullet"/>
      </w:pPr>
      <w:r>
        <w:t>Provider independence 2 of 2: provider unaffiliated with the fund (Cambridge Associates): the registry affiliation map ties it to none of the fund's advisers</w:t>
      </w:r>
    </w:p>
    <w:p>
      <w:pPr>
        <w:pStyle w:val="ListBullet"/>
      </w:pPr>
      <w:r>
        <w:t>Data held 0 of 2: licensed series not held (no subscription): the candidate is cited, not computed</w:t>
      </w:r>
    </w:p>
    <w:p>
      <w:pPr>
        <w:pStyle w:val="Heading2"/>
        <w:keepNext/>
      </w:pPr>
      <w:r>
        <w:t>Reference comparison, not the meaningful benchmark: Listed private equity investable proxy (PSP)</w:t>
      </w:r>
    </w:p>
    <w:p>
      <w:r>
        <w:t>Reference comparison on the highest-ranked held public market series: not the meaningful benchmark.</w:t>
      </w:r>
    </w:p>
    <w:p>
      <w:r>
        <w:t>Window 2019-03-31 to 2026-03-31 (clipped: proxy series begins 2018-07-18, 3 fiscal year(s) outside it dropped): fund 13.3%/yr (filed fiscal-year returns) vs the public series 6.02%/yr, KS-PME 1.5919, Direct Alpha 6.87%/yr. Disclosure: PME and alpha computed on appraisal-lagged NAVs are window-sensitive and can be smoothing-flattered. Conclusions should be read with the methodology's window-sensitivity analysis.</w:t>
      </w:r>
    </w:p>
    <w:p>
      <w:r>
        <w:t>Two-point comparison: one contribution at the window start and one valuation at the end. Direct Alpha is the annualized form of the same two flows.</w:t>
      </w:r>
    </w:p>
    <w:p>
      <w:pPr>
        <w:pStyle w:val="Heading2"/>
        <w:keepNext/>
      </w:pPr>
      <w:r>
        <w:t>Declared benchmark and SEC-required comparators (cell 5.1)</w:t>
      </w:r>
    </w:p>
    <w:p>
      <w:r>
        <w:t>SEC-required comparator: MSCI World Index, held, scored 6 of 10, fails the strategy gate (strategy match 1 of 3). The declaration itself earns no points.</w:t>
      </w:r>
    </w:p>
    <w:p>
      <w:r>
        <w:t>Window 2019-03-31 to 2026-03-31 (clipped: proxy series begins 2018-07-18, 3 fiscal year(s) outside it dropped): fund 13.3%/yr (filed fiscal-year returns) vs MSCI World Index 12.54%/yr, KS-PME 1.0483, Direct Alpha 0.68%/yr. Disclosure: PME and alpha computed on appraisal-lagged NAVs are window-sensitive and can be smoothing-flattered. Conclusions should be read with the methodology's window-sensitivity analysis.</w:t>
      </w:r>
    </w:p>
    <w:p>
      <w:r>
        <w:t>Two-point comparison: one contribution at the window start and one valuation at the end. Direct Alpha is the annualized form of the same two flows.</w:t>
      </w:r>
    </w:p>
    <w:p>
      <w:r>
        <w:t>Declared benchmark: none. cell 5.1: comparison index of the annual report's required performance presentation, no benchmark the fund is managed to.</w:t>
      </w:r>
    </w:p>
    <w:p>
      <w:pPr>
        <w:pStyle w:val="Heading2"/>
        <w:keepNext/>
      </w:pPr>
      <w:r>
        <w:t>Peer comparison (paragraphs (g) and (h)): evergreen private equity cohort</w:t>
      </w:r>
    </w:p>
    <w:p>
      <w:r>
        <w:t>Peers: Hamilton Lane Private Assets Fund, StepStone Private Markets, KKR Private Equity Conglomerate LLC, Ares Private Markets Fund. This is the history of similar investments, not the benchmark, and it is never a public market equivalent.</w:t>
      </w:r>
    </w:p>
    <w:p>
      <w:r>
        <w:t>Window FY2023 to FY2026 (years to 03-31) (4 fiscal-year periods, n=3 peers in every period): fund 9.41%/yr (filed fiscal-year returns) vs the peer composite 12.92%/yr, relative wealth ratio 0.8813, annualized excess return -3.11%/yr. Not a public market equivalent: the peer composite is appraisal-based, constructed by the evaluator and cannot be bought. Disclosure: ratios on appraisal-lagged NAVs are window-sensitive and can be smoothing-flattered.</w:t>
      </w:r>
    </w:p>
    <w:p>
      <w:r>
        <w:t>Alignment: 4 fiscal-year periods with identical start and end dates for every member (2022-03-31 to 2026-03-31), n=3 peers in every period. Member return sources: Hamilton Lane Private Assets Fund: filed fiscal-year returns, StepStone Private Markets: filed fiscal-year returns, Ares Private Markets Fund: filed fiscal-year returns. Excluded from the composite: KKR Private Equity Conglomerate LLC reports calendar years. AMG Pantheon Fund, LLC and the aligned peers report fiscal years to month 03, so it is excluded from the composite and stays in the side-by-side table. 1 of 4 peers excluded.</w:t>
      </w:r>
    </w:p>
    <w:p>
      <w:pPr>
        <w:keepNext/>
      </w:pPr>
      <w:r>
        <w:t>Two-point comparison: one contribution at the window start and one valuation at the end, on identical period boundaries. The ratio is fund growth divided by the comparator's growth over the same periods.</w:t>
      </w:r>
    </w:p>
    <w:tbl>
      <w:tblPr>
        <w:tblStyle w:val="TableGrid"/>
        <w:tblW w:type="dxa" w:w="9360"/>
        <w:tblLayout w:type="fixed"/>
        <w:tblLook w:firstColumn="1" w:firstRow="1" w:lastColumn="0" w:lastRow="0" w:noHBand="0" w:noVBand="1" w:val="04A0"/>
      </w:tblPr>
      <w:tblGrid>
        <w:gridCol w:w="1296"/>
        <w:gridCol w:w="576"/>
        <w:gridCol w:w="1498"/>
        <w:gridCol w:w="1498"/>
        <w:gridCol w:w="1498"/>
        <w:gridCol w:w="1498"/>
        <w:gridCol w:w="1498"/>
      </w:tblGrid>
      <w:tr>
        <w:trPr>
          <w:tblHeader/>
          <w:cantSplit/>
        </w:trPr>
        <w:tc>
          <w:tcPr>
            <w:tcW w:type="dxa" w:w="1296"/>
          </w:tcPr>
          <w:p>
            <w:r>
              <w:t>Period</w:t>
            </w:r>
          </w:p>
        </w:tc>
        <w:tc>
          <w:tcPr>
            <w:tcW w:type="dxa" w:w="576"/>
          </w:tcPr>
          <w:p>
            <w:r>
              <w:t>n</w:t>
            </w:r>
          </w:p>
        </w:tc>
        <w:tc>
          <w:tcPr>
            <w:tcW w:type="dxa" w:w="1498"/>
          </w:tcPr>
          <w:p>
            <w:r>
              <w:t>AMG Pantheon Fund, LLC</w:t>
            </w:r>
          </w:p>
        </w:tc>
        <w:tc>
          <w:tcPr>
            <w:tcW w:type="dxa" w:w="1498"/>
          </w:tcPr>
          <w:p>
            <w:r>
              <w:t>Hamilton Lane Private Assets Fund</w:t>
            </w:r>
          </w:p>
        </w:tc>
        <w:tc>
          <w:tcPr>
            <w:tcW w:type="dxa" w:w="1498"/>
          </w:tcPr>
          <w:p>
            <w:r>
              <w:t>StepStone Private Markets</w:t>
            </w:r>
          </w:p>
        </w:tc>
        <w:tc>
          <w:tcPr>
            <w:tcW w:type="dxa" w:w="1498"/>
          </w:tcPr>
          <w:p>
            <w:r>
              <w:t>KKR Private Equity Conglomerate LLC</w:t>
            </w:r>
          </w:p>
        </w:tc>
        <w:tc>
          <w:tcPr>
            <w:tcW w:type="dxa" w:w="1498"/>
          </w:tcPr>
          <w:p>
            <w:r>
              <w:t>Ares Private Markets Fund</w:t>
            </w:r>
          </w:p>
        </w:tc>
      </w:tr>
      <w:tr>
        <w:trPr>
          <w:cantSplit/>
        </w:trPr>
        <w:tc>
          <w:tcPr>
            <w:tcW w:type="dxa" w:w="1296"/>
          </w:tcPr>
          <w:p>
            <w:r>
              <w:t>FY2017 (year to 2017-03-31)</w:t>
            </w:r>
          </w:p>
        </w:tc>
        <w:tc>
          <w:tcPr>
            <w:tcW w:type="dxa" w:w="576"/>
          </w:tcPr>
          <w:p>
            <w:r>
              <w:t>1</w:t>
            </w:r>
          </w:p>
        </w:tc>
        <w:tc>
          <w:tcPr>
            <w:tcW w:type="dxa" w:w="1498"/>
          </w:tcPr>
          <w:p>
            <w:r>
              <w:t>14.27%</w:t>
            </w:r>
          </w:p>
        </w:tc>
        <w:tc>
          <w:tcPr>
            <w:tcW w:type="dxa" w:w="1498"/>
          </w:tcPr>
          <w:p>
            <w:r>
              <w:t>n/a</w:t>
            </w:r>
          </w:p>
        </w:tc>
        <w:tc>
          <w:tcPr>
            <w:tcW w:type="dxa" w:w="1498"/>
          </w:tcPr>
          <w:p>
            <w:r>
              <w:t>n/a</w:t>
            </w:r>
          </w:p>
        </w:tc>
        <w:tc>
          <w:tcPr>
            <w:tcW w:type="dxa" w:w="1498"/>
          </w:tcPr>
          <w:p>
            <w:r>
              <w:t>n/a</w:t>
            </w:r>
          </w:p>
        </w:tc>
        <w:tc>
          <w:tcPr>
            <w:tcW w:type="dxa" w:w="1498"/>
          </w:tcPr>
          <w:p>
            <w:r>
              <w:t>n/a</w:t>
            </w:r>
          </w:p>
        </w:tc>
      </w:tr>
      <w:tr>
        <w:trPr>
          <w:cantSplit/>
        </w:trPr>
        <w:tc>
          <w:tcPr>
            <w:tcW w:type="dxa" w:w="1296"/>
          </w:tcPr>
          <w:p>
            <w:r>
              <w:t>FY2018 (year to 2018-03-31)</w:t>
            </w:r>
          </w:p>
        </w:tc>
        <w:tc>
          <w:tcPr>
            <w:tcW w:type="dxa" w:w="576"/>
          </w:tcPr>
          <w:p>
            <w:r>
              <w:t>1</w:t>
            </w:r>
          </w:p>
        </w:tc>
        <w:tc>
          <w:tcPr>
            <w:tcW w:type="dxa" w:w="1498"/>
          </w:tcPr>
          <w:p>
            <w:r>
              <w:t>14.26%</w:t>
            </w:r>
          </w:p>
        </w:tc>
        <w:tc>
          <w:tcPr>
            <w:tcW w:type="dxa" w:w="1498"/>
          </w:tcPr>
          <w:p>
            <w:r>
              <w:t>n/a</w:t>
            </w:r>
          </w:p>
        </w:tc>
        <w:tc>
          <w:tcPr>
            <w:tcW w:type="dxa" w:w="1498"/>
          </w:tcPr>
          <w:p>
            <w:r>
              <w:t>n/a</w:t>
            </w:r>
          </w:p>
        </w:tc>
        <w:tc>
          <w:tcPr>
            <w:tcW w:type="dxa" w:w="1498"/>
          </w:tcPr>
          <w:p>
            <w:r>
              <w:t>n/a</w:t>
            </w:r>
          </w:p>
        </w:tc>
        <w:tc>
          <w:tcPr>
            <w:tcW w:type="dxa" w:w="1498"/>
          </w:tcPr>
          <w:p>
            <w:r>
              <w:t>n/a</w:t>
            </w:r>
          </w:p>
        </w:tc>
      </w:tr>
      <w:tr>
        <w:trPr>
          <w:cantSplit/>
        </w:trPr>
        <w:tc>
          <w:tcPr>
            <w:tcW w:type="dxa" w:w="1296"/>
          </w:tcPr>
          <w:p>
            <w:r>
              <w:t>FY2019 (year to 2019-03-31)</w:t>
            </w:r>
          </w:p>
        </w:tc>
        <w:tc>
          <w:tcPr>
            <w:tcW w:type="dxa" w:w="576"/>
          </w:tcPr>
          <w:p>
            <w:r>
              <w:t>1</w:t>
            </w:r>
          </w:p>
        </w:tc>
        <w:tc>
          <w:tcPr>
            <w:tcW w:type="dxa" w:w="1498"/>
          </w:tcPr>
          <w:p>
            <w:r>
              <w:t>10.11%</w:t>
            </w:r>
          </w:p>
        </w:tc>
        <w:tc>
          <w:tcPr>
            <w:tcW w:type="dxa" w:w="1498"/>
          </w:tcPr>
          <w:p>
            <w:r>
              <w:t>n/a</w:t>
            </w:r>
          </w:p>
        </w:tc>
        <w:tc>
          <w:tcPr>
            <w:tcW w:type="dxa" w:w="1498"/>
          </w:tcPr>
          <w:p>
            <w:r>
              <w:t>n/a</w:t>
            </w:r>
          </w:p>
        </w:tc>
        <w:tc>
          <w:tcPr>
            <w:tcW w:type="dxa" w:w="1498"/>
          </w:tcPr>
          <w:p>
            <w:r>
              <w:t>n/a</w:t>
            </w:r>
          </w:p>
        </w:tc>
        <w:tc>
          <w:tcPr>
            <w:tcW w:type="dxa" w:w="1498"/>
          </w:tcPr>
          <w:p>
            <w:r>
              <w:t>n/a</w:t>
            </w:r>
          </w:p>
        </w:tc>
      </w:tr>
      <w:tr>
        <w:trPr>
          <w:cantSplit/>
        </w:trPr>
        <w:tc>
          <w:tcPr>
            <w:tcW w:type="dxa" w:w="1296"/>
          </w:tcPr>
          <w:p>
            <w:r>
              <w:t>FY2020 (year to 2020-03-31)</w:t>
            </w:r>
          </w:p>
        </w:tc>
        <w:tc>
          <w:tcPr>
            <w:tcW w:type="dxa" w:w="576"/>
          </w:tcPr>
          <w:p>
            <w:r>
              <w:t>1</w:t>
            </w:r>
          </w:p>
        </w:tc>
        <w:tc>
          <w:tcPr>
            <w:tcW w:type="dxa" w:w="1498"/>
          </w:tcPr>
          <w:p>
            <w:r>
              <w:t>4.15%</w:t>
            </w:r>
          </w:p>
        </w:tc>
        <w:tc>
          <w:tcPr>
            <w:tcW w:type="dxa" w:w="1498"/>
          </w:tcPr>
          <w:p>
            <w:r>
              <w:t>n/a</w:t>
            </w:r>
          </w:p>
        </w:tc>
        <w:tc>
          <w:tcPr>
            <w:tcW w:type="dxa" w:w="1498"/>
          </w:tcPr>
          <w:p>
            <w:r>
              <w:t>n/a</w:t>
            </w:r>
          </w:p>
        </w:tc>
        <w:tc>
          <w:tcPr>
            <w:tcW w:type="dxa" w:w="1498"/>
          </w:tcPr>
          <w:p>
            <w:r>
              <w:t>n/a</w:t>
            </w:r>
          </w:p>
        </w:tc>
        <w:tc>
          <w:tcPr>
            <w:tcW w:type="dxa" w:w="1498"/>
          </w:tcPr>
          <w:p>
            <w:r>
              <w:t>n/a</w:t>
            </w:r>
          </w:p>
        </w:tc>
      </w:tr>
      <w:tr>
        <w:trPr>
          <w:cantSplit/>
        </w:trPr>
        <w:tc>
          <w:tcPr>
            <w:tcW w:type="dxa" w:w="1296"/>
          </w:tcPr>
          <w:p>
            <w:r>
              <w:t>FY2021 (year to 2021-03-31)</w:t>
            </w:r>
          </w:p>
        </w:tc>
        <w:tc>
          <w:tcPr>
            <w:tcW w:type="dxa" w:w="576"/>
          </w:tcPr>
          <w:p>
            <w:r>
              <w:t>1</w:t>
            </w:r>
          </w:p>
        </w:tc>
        <w:tc>
          <w:tcPr>
            <w:tcW w:type="dxa" w:w="1498"/>
          </w:tcPr>
          <w:p>
            <w:r>
              <w:t>35.72%</w:t>
            </w:r>
          </w:p>
        </w:tc>
        <w:tc>
          <w:tcPr>
            <w:tcW w:type="dxa" w:w="1498"/>
          </w:tcPr>
          <w:p>
            <w:r>
              <w:t>n/a</w:t>
            </w:r>
          </w:p>
        </w:tc>
        <w:tc>
          <w:tcPr>
            <w:tcW w:type="dxa" w:w="1498"/>
          </w:tcPr>
          <w:p>
            <w:r>
              <w:t>n/a</w:t>
            </w:r>
          </w:p>
        </w:tc>
        <w:tc>
          <w:tcPr>
            <w:tcW w:type="dxa" w:w="1498"/>
          </w:tcPr>
          <w:p>
            <w:r>
              <w:t>n/a</w:t>
            </w:r>
          </w:p>
        </w:tc>
        <w:tc>
          <w:tcPr>
            <w:tcW w:type="dxa" w:w="1498"/>
          </w:tcPr>
          <w:p>
            <w:r>
              <w:t>n/a</w:t>
            </w:r>
          </w:p>
        </w:tc>
      </w:tr>
      <w:tr>
        <w:trPr>
          <w:cantSplit/>
        </w:trPr>
        <w:tc>
          <w:tcPr>
            <w:tcW w:type="dxa" w:w="1296"/>
          </w:tcPr>
          <w:p>
            <w:r>
              <w:t>FY2022 (year to 2022-03-31)</w:t>
            </w:r>
          </w:p>
        </w:tc>
        <w:tc>
          <w:tcPr>
            <w:tcW w:type="dxa" w:w="576"/>
          </w:tcPr>
          <w:p>
            <w:r>
              <w:t>3</w:t>
            </w:r>
          </w:p>
        </w:tc>
        <w:tc>
          <w:tcPr>
            <w:tcW w:type="dxa" w:w="1498"/>
          </w:tcPr>
          <w:p>
            <w:r>
              <w:t>18.36%</w:t>
            </w:r>
          </w:p>
        </w:tc>
        <w:tc>
          <w:tcPr>
            <w:tcW w:type="dxa" w:w="1498"/>
          </w:tcPr>
          <w:p>
            <w:r>
              <w:t>20.77%</w:t>
            </w:r>
          </w:p>
        </w:tc>
        <w:tc>
          <w:tcPr>
            <w:tcW w:type="dxa" w:w="1498"/>
          </w:tcPr>
          <w:p>
            <w:r>
              <w:t>29.43%</w:t>
            </w:r>
          </w:p>
        </w:tc>
        <w:tc>
          <w:tcPr>
            <w:tcW w:type="dxa" w:w="1498"/>
          </w:tcPr>
          <w:p>
            <w:r>
              <w:t>n/a</w:t>
            </w:r>
          </w:p>
        </w:tc>
        <w:tc>
          <w:tcPr>
            <w:tcW w:type="dxa" w:w="1498"/>
          </w:tcPr>
          <w:p>
            <w:r>
              <w:t>n/a</w:t>
            </w:r>
          </w:p>
        </w:tc>
      </w:tr>
      <w:tr>
        <w:trPr>
          <w:cantSplit/>
        </w:trPr>
        <w:tc>
          <w:tcPr>
            <w:tcW w:type="dxa" w:w="1296"/>
          </w:tcPr>
          <w:p>
            <w:r>
              <w:t>FY2023 (year to 2023-03-31)</w:t>
            </w:r>
          </w:p>
        </w:tc>
        <w:tc>
          <w:tcPr>
            <w:tcW w:type="dxa" w:w="576"/>
          </w:tcPr>
          <w:p>
            <w:r>
              <w:t>4</w:t>
            </w:r>
          </w:p>
        </w:tc>
        <w:tc>
          <w:tcPr>
            <w:tcW w:type="dxa" w:w="1498"/>
          </w:tcPr>
          <w:p>
            <w:r>
              <w:t>6.45%</w:t>
            </w:r>
          </w:p>
        </w:tc>
        <w:tc>
          <w:tcPr>
            <w:tcW w:type="dxa" w:w="1498"/>
          </w:tcPr>
          <w:p>
            <w:r>
              <w:t>16.1%</w:t>
            </w:r>
          </w:p>
        </w:tc>
        <w:tc>
          <w:tcPr>
            <w:tcW w:type="dxa" w:w="1498"/>
          </w:tcPr>
          <w:p>
            <w:r>
              <w:t>8.23%</w:t>
            </w:r>
          </w:p>
        </w:tc>
        <w:tc>
          <w:tcPr>
            <w:tcW w:type="dxa" w:w="1498"/>
          </w:tcPr>
          <w:p>
            <w:r>
              <w:t>n/a</w:t>
            </w:r>
          </w:p>
        </w:tc>
        <w:tc>
          <w:tcPr>
            <w:tcW w:type="dxa" w:w="1498"/>
          </w:tcPr>
          <w:p>
            <w:r>
              <w:t>9.27%</w:t>
            </w:r>
          </w:p>
        </w:tc>
      </w:tr>
      <w:tr>
        <w:trPr>
          <w:cantSplit/>
        </w:trPr>
        <w:tc>
          <w:tcPr>
            <w:tcW w:type="dxa" w:w="1296"/>
          </w:tcPr>
          <w:p>
            <w:r>
              <w:t>FY2024 (year to 2024-03-31)</w:t>
            </w:r>
          </w:p>
        </w:tc>
        <w:tc>
          <w:tcPr>
            <w:tcW w:type="dxa" w:w="576"/>
          </w:tcPr>
          <w:p>
            <w:r>
              <w:t>4</w:t>
            </w:r>
          </w:p>
        </w:tc>
        <w:tc>
          <w:tcPr>
            <w:tcW w:type="dxa" w:w="1498"/>
          </w:tcPr>
          <w:p>
            <w:r>
              <w:t>12.08%</w:t>
            </w:r>
          </w:p>
        </w:tc>
        <w:tc>
          <w:tcPr>
            <w:tcW w:type="dxa" w:w="1498"/>
          </w:tcPr>
          <w:p>
            <w:r>
              <w:t>12.68%</w:t>
            </w:r>
          </w:p>
        </w:tc>
        <w:tc>
          <w:tcPr>
            <w:tcW w:type="dxa" w:w="1498"/>
          </w:tcPr>
          <w:p>
            <w:r>
              <w:t>13.79%</w:t>
            </w:r>
          </w:p>
        </w:tc>
        <w:tc>
          <w:tcPr>
            <w:tcW w:type="dxa" w:w="1498"/>
          </w:tcPr>
          <w:p>
            <w:r>
              <w:t>n/a</w:t>
            </w:r>
          </w:p>
        </w:tc>
        <w:tc>
          <w:tcPr>
            <w:tcW w:type="dxa" w:w="1498"/>
          </w:tcPr>
          <w:p>
            <w:r>
              <w:t>17.1%</w:t>
            </w:r>
          </w:p>
        </w:tc>
      </w:tr>
      <w:tr>
        <w:trPr>
          <w:cantSplit/>
        </w:trPr>
        <w:tc>
          <w:tcPr>
            <w:tcW w:type="dxa" w:w="1296"/>
          </w:tcPr>
          <w:p>
            <w:r>
              <w:t>2024</w:t>
            </w:r>
          </w:p>
        </w:tc>
        <w:tc>
          <w:tcPr>
            <w:tcW w:type="dxa" w:w="576"/>
          </w:tcPr>
          <w:p>
            <w:r>
              <w:t>1</w:t>
            </w:r>
          </w:p>
        </w:tc>
        <w:tc>
          <w:tcPr>
            <w:tcW w:type="dxa" w:w="1498"/>
          </w:tcPr>
          <w:p>
            <w:r>
              <w:t>n/a</w:t>
            </w:r>
          </w:p>
        </w:tc>
        <w:tc>
          <w:tcPr>
            <w:tcW w:type="dxa" w:w="1498"/>
          </w:tcPr>
          <w:p>
            <w:r>
              <w:t>n/a</w:t>
            </w:r>
          </w:p>
        </w:tc>
        <w:tc>
          <w:tcPr>
            <w:tcW w:type="dxa" w:w="1498"/>
          </w:tcPr>
          <w:p>
            <w:r>
              <w:t>n/a</w:t>
            </w:r>
          </w:p>
        </w:tc>
        <w:tc>
          <w:tcPr>
            <w:tcW w:type="dxa" w:w="1498"/>
          </w:tcPr>
          <w:p>
            <w:r>
              <w:t>11.82%</w:t>
            </w:r>
          </w:p>
        </w:tc>
        <w:tc>
          <w:tcPr>
            <w:tcW w:type="dxa" w:w="1498"/>
          </w:tcPr>
          <w:p>
            <w:r>
              <w:t>n/a</w:t>
            </w:r>
          </w:p>
        </w:tc>
      </w:tr>
      <w:tr>
        <w:trPr>
          <w:cantSplit/>
        </w:trPr>
        <w:tc>
          <w:tcPr>
            <w:tcW w:type="dxa" w:w="1296"/>
          </w:tcPr>
          <w:p>
            <w:r>
              <w:t>FY2025 (year to 2025-03-31)</w:t>
            </w:r>
          </w:p>
        </w:tc>
        <w:tc>
          <w:tcPr>
            <w:tcW w:type="dxa" w:w="576"/>
          </w:tcPr>
          <w:p>
            <w:r>
              <w:t>4</w:t>
            </w:r>
          </w:p>
        </w:tc>
        <w:tc>
          <w:tcPr>
            <w:tcW w:type="dxa" w:w="1498"/>
          </w:tcPr>
          <w:p>
            <w:r>
              <w:t>10.07%</w:t>
            </w:r>
          </w:p>
        </w:tc>
        <w:tc>
          <w:tcPr>
            <w:tcW w:type="dxa" w:w="1498"/>
          </w:tcPr>
          <w:p>
            <w:r>
              <w:t>12.59%</w:t>
            </w:r>
          </w:p>
        </w:tc>
        <w:tc>
          <w:tcPr>
            <w:tcW w:type="dxa" w:w="1498"/>
          </w:tcPr>
          <w:p>
            <w:r>
              <w:t>10.76%</w:t>
            </w:r>
          </w:p>
        </w:tc>
        <w:tc>
          <w:tcPr>
            <w:tcW w:type="dxa" w:w="1498"/>
          </w:tcPr>
          <w:p>
            <w:r>
              <w:t>n/a</w:t>
            </w:r>
          </w:p>
        </w:tc>
        <w:tc>
          <w:tcPr>
            <w:tcW w:type="dxa" w:w="1498"/>
          </w:tcPr>
          <w:p>
            <w:r>
              <w:t>19.95%</w:t>
            </w:r>
          </w:p>
        </w:tc>
      </w:tr>
      <w:tr>
        <w:trPr>
          <w:cantSplit/>
        </w:trPr>
        <w:tc>
          <w:tcPr>
            <w:tcW w:type="dxa" w:w="1296"/>
          </w:tcPr>
          <w:p>
            <w:r>
              <w:t>2025</w:t>
            </w:r>
          </w:p>
        </w:tc>
        <w:tc>
          <w:tcPr>
            <w:tcW w:type="dxa" w:w="576"/>
          </w:tcPr>
          <w:p>
            <w:r>
              <w:t>1</w:t>
            </w:r>
          </w:p>
        </w:tc>
        <w:tc>
          <w:tcPr>
            <w:tcW w:type="dxa" w:w="1498"/>
          </w:tcPr>
          <w:p>
            <w:r>
              <w:t>n/a</w:t>
            </w:r>
          </w:p>
        </w:tc>
        <w:tc>
          <w:tcPr>
            <w:tcW w:type="dxa" w:w="1498"/>
          </w:tcPr>
          <w:p>
            <w:r>
              <w:t>n/a</w:t>
            </w:r>
          </w:p>
        </w:tc>
        <w:tc>
          <w:tcPr>
            <w:tcW w:type="dxa" w:w="1498"/>
          </w:tcPr>
          <w:p>
            <w:r>
              <w:t>n/a</w:t>
            </w:r>
          </w:p>
        </w:tc>
        <w:tc>
          <w:tcPr>
            <w:tcW w:type="dxa" w:w="1498"/>
          </w:tcPr>
          <w:p>
            <w:r>
              <w:t>16.14%</w:t>
            </w:r>
          </w:p>
        </w:tc>
        <w:tc>
          <w:tcPr>
            <w:tcW w:type="dxa" w:w="1498"/>
          </w:tcPr>
          <w:p>
            <w:r>
              <w:t>n/a</w:t>
            </w:r>
          </w:p>
        </w:tc>
      </w:tr>
      <w:tr>
        <w:trPr>
          <w:cantSplit/>
        </w:trPr>
        <w:tc>
          <w:tcPr>
            <w:tcW w:type="dxa" w:w="1296"/>
          </w:tcPr>
          <w:p>
            <w:r>
              <w:t>FY2026 (year to 2026-03-31)</w:t>
            </w:r>
          </w:p>
        </w:tc>
        <w:tc>
          <w:tcPr>
            <w:tcW w:type="dxa" w:w="576"/>
          </w:tcPr>
          <w:p>
            <w:r>
              <w:t>4</w:t>
            </w:r>
          </w:p>
        </w:tc>
        <w:tc>
          <w:tcPr>
            <w:tcW w:type="dxa" w:w="1498"/>
          </w:tcPr>
          <w:p>
            <w:r>
              <w:t>9.1%</w:t>
            </w:r>
          </w:p>
        </w:tc>
        <w:tc>
          <w:tcPr>
            <w:tcW w:type="dxa" w:w="1498"/>
          </w:tcPr>
          <w:p>
            <w:r>
              <w:t>14.6%</w:t>
            </w:r>
          </w:p>
        </w:tc>
        <w:tc>
          <w:tcPr>
            <w:tcW w:type="dxa" w:w="1498"/>
          </w:tcPr>
          <w:p>
            <w:r>
              <w:t>10.47%</w:t>
            </w:r>
          </w:p>
        </w:tc>
        <w:tc>
          <w:tcPr>
            <w:tcW w:type="dxa" w:w="1498"/>
          </w:tcPr>
          <w:p>
            <w:r>
              <w:t>n/a</w:t>
            </w:r>
          </w:p>
        </w:tc>
        <w:tc>
          <w:tcPr>
            <w:tcW w:type="dxa" w:w="1498"/>
          </w:tcPr>
          <w:p>
            <w:r>
              <w:t>9.58%</w:t>
            </w:r>
          </w:p>
        </w:tc>
      </w:tr>
    </w:tbl>
    <w:p>
      <w:r>
        <w:t>The cohort is the roster's 5 surviving, still-filing products. Funds that closed, merged, or stopped filing are not in it, so any composite carries survivorship bias in the fund's favor. Membership rationales and exclusions are in the roster record.</w:t>
      </w:r>
    </w:p>
    <w:p>
      <w:r>
        <w:t>Members span 2 wrapper types (non-traded LLC ('34 Act), tender-offer fund) and 2 leverage regimes (1940-Act asset-coverage limits, no 1940-Act leverage limits (34-Act conglomerate)). Fee bases, leverage and exit rights are not like-for-like, so the comparison is a history of similar investments, not a like-for-like index.</w:t>
      </w:r>
    </w:p>
    <w:p>
      <w:pPr>
        <w:pStyle w:val="Heading2"/>
        <w:keepNext/>
      </w:pPr>
      <w:r>
        <w:t>Rejection log (candidates considered and not selected)</w:t>
      </w:r>
    </w:p>
    <w:tbl>
      <w:tblPr>
        <w:tblStyle w:val="TableGrid"/>
        <w:tblW w:type="dxa" w:w="9360"/>
        <w:tblLayout w:type="fixed"/>
        <w:tblLook w:firstColumn="1" w:firstRow="1" w:lastColumn="0" w:lastRow="0" w:noHBand="0" w:noVBand="1" w:val="04A0"/>
      </w:tblPr>
      <w:tblGrid>
        <w:gridCol w:w="2880"/>
        <w:gridCol w:w="1008"/>
        <w:gridCol w:w="5472"/>
      </w:tblGrid>
      <w:tr>
        <w:trPr>
          <w:tblHeader/>
          <w:cantSplit/>
        </w:trPr>
        <w:tc>
          <w:tcPr>
            <w:tcW w:type="dxa" w:w="2880"/>
          </w:tcPr>
          <w:p>
            <w:r>
              <w:t>Candidate</w:t>
            </w:r>
          </w:p>
        </w:tc>
        <w:tc>
          <w:tcPr>
            <w:tcW w:type="dxa" w:w="1008"/>
          </w:tcPr>
          <w:p>
            <w:r>
              <w:t>Score</w:t>
            </w:r>
          </w:p>
        </w:tc>
        <w:tc>
          <w:tcPr>
            <w:tcW w:type="dxa" w:w="5472"/>
          </w:tcPr>
          <w:p>
            <w:r>
              <w:t>Reason and criteria</w:t>
            </w:r>
          </w:p>
        </w:tc>
      </w:tr>
      <w:tr>
        <w:trPr>
          <w:cantSplit/>
        </w:trPr>
        <w:tc>
          <w:tcPr>
            <w:tcW w:type="dxa" w:w="2880"/>
          </w:tcPr>
          <w:p>
            <w:r>
              <w:t>Listed private equity investable proxy (PSP)</w:t>
            </w:r>
          </w:p>
        </w:tc>
        <w:tc>
          <w:tcPr>
            <w:tcW w:type="dxa" w:w="1008"/>
          </w:tcPr>
          <w:p>
            <w:r>
              <w:t>7 of 10</w:t>
            </w:r>
          </w:p>
        </w:tc>
        <w:tc>
          <w:tcPr>
            <w:tcW w:type="dxa" w:w="5472"/>
          </w:tcPr>
          <w:p>
            <w:r>
              <w:t>ranked below the selected candidate: 7 of 10 vs 8 of 10 for Cambridge PE benchmark. Criteria: Strategy match 2 of 3: the public-market version of the asset class (listed private equity for evergreen private equity), Risk and liquidity match 1 of 3: daily-liquid market series against a semi-liquid NAV fund (quarterly dealing at NAV under 5% cap per quarter): volatility and liquidity regimes differ, the PME construct exists for exactly this comparison, Provider independence 2 of 2: provider unaffiliated with the fund (Invesco / Red Rocks): the registry affiliation map ties it to none of the fund's advisers, Data held 2 of 2: daily public market series held (exchange-traded proxy, Yahoo adjusted close).</w:t>
            </w:r>
          </w:p>
        </w:tc>
      </w:tr>
      <w:tr>
        <w:trPr>
          <w:cantSplit/>
        </w:trPr>
        <w:tc>
          <w:tcPr>
            <w:tcW w:type="dxa" w:w="2880"/>
          </w:tcPr>
          <w:p>
            <w:r>
              <w:t>MSCI World investable proxy (URTH)</w:t>
            </w:r>
          </w:p>
        </w:tc>
        <w:tc>
          <w:tcPr>
            <w:tcW w:type="dxa" w:w="1008"/>
          </w:tcPr>
          <w:p>
            <w:r>
              <w:t>6 of 10</w:t>
            </w:r>
          </w:p>
        </w:tc>
        <w:tc>
          <w:tcPr>
            <w:tcW w:type="dxa" w:w="5472"/>
          </w:tcPr>
          <w:p>
            <w:r>
              <w:t>rejected: strategy gate (score 6 of 10 but strategy match 1 of 3). Criteria: Strategy match 1 of 3: adjacent asset class sharing the dominant risk (global equity for evergreen private equity), Risk and liquidity match 1 of 3: daily-liquid market series against a semi-liquid NAV fund (quarterly dealing at NAV under 5% cap per quarter): volatility and liquidity regimes differ, the PME construct exists for exactly this comparison, Provider independence 2 of 2: provider unaffiliated with the fund (iShares / MSCI): the registry affiliation map ties it to none of the fund's advisers, Data held 2 of 2: daily public market series held (exchange-traded proxy, Yahoo adjusted close).</w:t>
            </w:r>
          </w:p>
        </w:tc>
      </w:tr>
    </w:tbl>
    <w:p>
      <w:pPr>
        <w:pStyle w:val="Heading1"/>
        <w:keepNext/>
      </w:pPr>
      <w:r>
        <w:t>Product-to-plan liquidity match</w:t>
      </w:r>
    </w:p>
    <w:p>
      <w:r>
        <w:t>Plan: US media/technology company 401(k) plan (~$570M, New York). The structural verdict reads the dealing terms on record (cells 3.1, 3.3, 2.7, plan-independent). The scenario verdict is ILLUSTRATIVE (the plan's filed outflow proxy as the base demand and the turnover assumptions as the stress, against the same capacity, per plan).</w:t>
      </w:r>
    </w:p>
    <w:p>
      <w:pPr>
        <w:pStyle w:val="Heading2"/>
        <w:keepNext/>
      </w:pPr>
      <w:r>
        <w:t>Structural verdict (dealing terms on record, plan-independent)</w:t>
      </w:r>
    </w:p>
    <w:p>
      <w:r>
        <w:t>PARTIAL</w:t>
      </w:r>
    </w:p>
    <w:p>
      <w:pPr>
        <w:pStyle w:val="ListBullet"/>
      </w:pPr>
      <w:r>
        <w:t>STRUCTURAL GAP: a participant-directed 404(c) menu assumes daily pricing and daily participant liquidity, whereas this wrapper deals quarterly with a 5% cap per quarter on outstanding shares. Direct DIA use requires a bridging structure: CIT sleeve, managed account, or TDF sleeve (cell 3.5).</w:t>
      </w:r>
    </w:p>
    <w:p>
      <w:pPr>
        <w:pStyle w:val="ListBullet"/>
      </w:pPr>
      <w:r>
        <w:t>Facts missing for a structural verdict: gating history (no proration or oversubscription event is disclosed in the on-disk documents, but the tendered-versus-accepted amounts per offer are not printed either. Completed-tender dollars establish continuity, not full fills (the completed-tender rule)). The verdict stays partial until they are read from the filings.</w:t>
      </w:r>
    </w:p>
    <w:p>
      <w:pPr>
        <w:pStyle w:val="ListBullet"/>
        <w:keepNext/>
      </w:pPr>
      <w:r>
        <w:t>Early repurchase economics: 2% if held &lt; 1 year (2.7). Relevant to participant-level churn (2.7).</w:t>
      </w:r>
    </w:p>
    <w:tbl>
      <w:tblPr>
        <w:tblStyle w:val="TableGrid"/>
        <w:tblW w:type="dxa" w:w="9360"/>
        <w:tblLayout w:type="fixed"/>
        <w:tblLook w:firstColumn="1" w:firstRow="1" w:lastColumn="0" w:lastRow="0" w:noHBand="0" w:noVBand="1" w:val="04A0"/>
      </w:tblPr>
      <w:tblGrid>
        <w:gridCol w:w="2448"/>
        <w:gridCol w:w="5760"/>
        <w:gridCol w:w="1152"/>
      </w:tblGrid>
      <w:tr>
        <w:trPr>
          <w:tblHeader/>
          <w:cantSplit/>
        </w:trPr>
        <w:tc>
          <w:tcPr>
            <w:tcW w:type="dxa" w:w="2448"/>
          </w:tcPr>
          <w:p>
            <w:r>
              <w:t>Wrapper fact</w:t>
            </w:r>
          </w:p>
        </w:tc>
        <w:tc>
          <w:tcPr>
            <w:tcW w:type="dxa" w:w="5760"/>
          </w:tcPr>
          <w:p>
            <w:r>
              <w:t>Value</w:t>
            </w:r>
          </w:p>
        </w:tc>
        <w:tc>
          <w:tcPr>
            <w:tcW w:type="dxa" w:w="1152"/>
          </w:tcPr>
          <w:p>
            <w:r>
              <w:t>Cell</w:t>
            </w:r>
          </w:p>
        </w:tc>
      </w:tr>
      <w:tr>
        <w:trPr>
          <w:cantSplit/>
        </w:trPr>
        <w:tc>
          <w:tcPr>
            <w:tcW w:type="dxa" w:w="2448"/>
          </w:tcPr>
          <w:p>
            <w:r>
              <w:t>Wrapper</w:t>
            </w:r>
          </w:p>
        </w:tc>
        <w:tc>
          <w:tcPr>
            <w:tcW w:type="dxa" w:w="5760"/>
          </w:tcPr>
          <w:p>
            <w:r>
              <w:t>tender-offer fund</w:t>
            </w:r>
          </w:p>
        </w:tc>
        <w:tc>
          <w:tcPr>
            <w:tcW w:type="dxa" w:w="1152"/>
          </w:tcPr>
          <w:p>
            <w:r>
              <w:t>6.1</w:t>
            </w:r>
          </w:p>
        </w:tc>
      </w:tr>
      <w:tr>
        <w:trPr>
          <w:cantSplit/>
        </w:trPr>
        <w:tc>
          <w:tcPr>
            <w:tcW w:type="dxa" w:w="2448"/>
          </w:tcPr>
          <w:p>
            <w:r>
              <w:t>Dealing terms</w:t>
            </w:r>
          </w:p>
        </w:tc>
        <w:tc>
          <w:tcPr>
            <w:tcW w:type="dxa" w:w="5760"/>
          </w:tcPr>
          <w:p>
            <w:r>
              <w:t>quarterly offers, 5% cap per quarter on outstanding shares</w:t>
            </w:r>
          </w:p>
        </w:tc>
        <w:tc>
          <w:tcPr>
            <w:tcW w:type="dxa" w:w="1152"/>
          </w:tcPr>
          <w:p>
            <w:r>
              <w:t>3.1</w:t>
            </w:r>
          </w:p>
        </w:tc>
      </w:tr>
      <w:tr>
        <w:trPr>
          <w:cantSplit/>
        </w:trPr>
        <w:tc>
          <w:tcPr>
            <w:tcW w:type="dxa" w:w="2448"/>
          </w:tcPr>
          <w:p>
            <w:r>
              <w:t>Repurchase caps</w:t>
            </w:r>
          </w:p>
        </w:tc>
        <w:tc>
          <w:tcPr>
            <w:tcW w:type="dxa" w:w="5760"/>
          </w:tcPr>
          <w:p>
            <w:r>
              <w:t>5% per quarter, 20% per year</w:t>
            </w:r>
          </w:p>
        </w:tc>
        <w:tc>
          <w:tcPr>
            <w:tcW w:type="dxa" w:w="1152"/>
          </w:tcPr>
          <w:p>
            <w:r>
              <w:t>3.1</w:t>
            </w:r>
          </w:p>
        </w:tc>
      </w:tr>
      <w:tr>
        <w:trPr>
          <w:cantSplit/>
        </w:trPr>
        <w:tc>
          <w:tcPr>
            <w:tcW w:type="dxa" w:w="2448"/>
          </w:tcPr>
          <w:p>
            <w:r>
              <w:t>Annual capacity (binding cap)</w:t>
            </w:r>
          </w:p>
        </w:tc>
        <w:tc>
          <w:tcPr>
            <w:tcW w:type="dxa" w:w="5760"/>
          </w:tcPr>
          <w:p>
            <w:r>
              <w:t>20% of the position per year</w:t>
            </w:r>
          </w:p>
        </w:tc>
        <w:tc>
          <w:tcPr>
            <w:tcW w:type="dxa" w:w="1152"/>
          </w:tcPr>
          <w:p>
            <w:r>
              <w:t>3.1</w:t>
            </w:r>
          </w:p>
        </w:tc>
      </w:tr>
      <w:tr>
        <w:trPr>
          <w:cantSplit/>
        </w:trPr>
        <w:tc>
          <w:tcPr>
            <w:tcW w:type="dxa" w:w="2448"/>
          </w:tcPr>
          <w:p>
            <w:r>
              <w:t>Gating history</w:t>
            </w:r>
          </w:p>
        </w:tc>
        <w:tc>
          <w:tcPr>
            <w:tcW w:type="dxa" w:w="5760"/>
          </w:tcPr>
          <w:p>
            <w:r>
              <w:t>not on record: no proration or oversubscription event is disclosed in the on-disk documents, but the tendered-versus-accepted amounts per offer are not printed either. Completed-tender dollars establish continuity, not full fills (the completed-tender rule)</w:t>
            </w:r>
          </w:p>
        </w:tc>
        <w:tc>
          <w:tcPr>
            <w:tcW w:type="dxa" w:w="1152"/>
          </w:tcPr>
          <w:p>
            <w:r>
              <w:t>3.3</w:t>
            </w:r>
          </w:p>
        </w:tc>
      </w:tr>
      <w:tr>
        <w:trPr>
          <w:cantSplit/>
        </w:trPr>
        <w:tc>
          <w:tcPr>
            <w:tcW w:type="dxa" w:w="2448"/>
          </w:tcPr>
          <w:p>
            <w:r>
              <w:t>Repurchase program status</w:t>
            </w:r>
          </w:p>
        </w:tc>
        <w:tc>
          <w:tcPr>
            <w:tcW w:type="dxa" w:w="5760"/>
          </w:tcPr>
          <w:p>
            <w:r>
              <w:t>active as of 2026-03-31</w:t>
            </w:r>
          </w:p>
        </w:tc>
        <w:tc>
          <w:tcPr>
            <w:tcW w:type="dxa" w:w="1152"/>
          </w:tcPr>
          <w:p>
            <w:r>
              <w:t>3.1</w:t>
            </w:r>
          </w:p>
        </w:tc>
      </w:tr>
      <w:tr>
        <w:trPr>
          <w:cantSplit/>
        </w:trPr>
        <w:tc>
          <w:tcPr>
            <w:tcW w:type="dxa" w:w="2448"/>
          </w:tcPr>
          <w:p>
            <w:r>
              <w:t>Early repurchase fee</w:t>
            </w:r>
          </w:p>
        </w:tc>
        <w:tc>
          <w:tcPr>
            <w:tcW w:type="dxa" w:w="5760"/>
          </w:tcPr>
          <w:p>
            <w:r>
              <w:t>2% if held &lt; 1 year (2.7)</w:t>
            </w:r>
          </w:p>
        </w:tc>
        <w:tc>
          <w:tcPr>
            <w:tcW w:type="dxa" w:w="1152"/>
          </w:tcPr>
          <w:p>
            <w:r>
              <w:t>2.7</w:t>
            </w:r>
          </w:p>
        </w:tc>
      </w:tr>
      <w:tr>
        <w:trPr>
          <w:cantSplit/>
        </w:trPr>
        <w:tc>
          <w:tcPr>
            <w:tcW w:type="dxa" w:w="2448"/>
          </w:tcPr>
          <w:p>
            <w:r>
              <w:t>Fund net assets (for the dollar capacity)</w:t>
            </w:r>
          </w:p>
        </w:tc>
        <w:tc>
          <w:tcPr>
            <w:tcW w:type="dxa" w:w="5760"/>
          </w:tcPr>
          <w:p>
            <w:r>
              <w:t>not on record: aggregate net assets not yet carried into a fact on record. Verification-queue item</w:t>
            </w:r>
          </w:p>
        </w:tc>
        <w:tc>
          <w:tcPr>
            <w:tcW w:type="dxa" w:w="1152"/>
          </w:tcPr>
          <w:p>
            <w:r>
              <w:t>3.6</w:t>
            </w:r>
          </w:p>
        </w:tc>
      </w:tr>
    </w:tbl>
    <w:p>
      <w:pPr>
        <w:pStyle w:val="Heading2"/>
        <w:keepNext/>
      </w:pPr>
      <w:r>
        <w:t>Scenario (ILLUSTRATIVE, this plan)</w:t>
      </w:r>
    </w:p>
    <w:p>
      <w:r>
        <w:t>Plan inputs (Form 5500): net assets $565.8M, liquidity tail 36.1% of accounts (1,847 separated participants with balances), filed outflow proxy 11.7% of beginning net assets per year (Schedule H totals of the plan's Form 5500 for plan year 2024-01-01 to 2024-12-31, from the plan record: total expenses less administrative expenses over beginning net assets, an upper bound on benefit payments while Schedule H line 2e is not in the record).</w:t>
      </w:r>
    </w:p>
    <w:p>
      <w:r>
        <w:t>Base demand (filed outflow proxy applied to a 5% allocation = $28.3M): $3.3M/yr = 11.7% of the position per year vs annual wrapper capacity 20%.</w:t>
      </w:r>
    </w:p>
    <w:p>
      <w:r>
        <w:t>Slider assumption (adjustable on the Liquidity view, not a fact): tail turnover 20%/yr, active turnover 5%/yr, 10.4% of the position per year = $2.9M/yr, shown beside the filed rate, not blended with it.</w:t>
      </w:r>
    </w:p>
    <w:p>
      <w:r>
        <w:t>Stressed (the filed outflow proxy plus the increment the stress multiples add under stress (tail turnover x2, active turnover x1.5 over the slider assumption)): demand $5.8M/yr = 20.5% of the position. EXCEEDS annual wrapper capacity (20.5% vs 20%). Unmet demand rolls into later windows (gating-equivalent outcome).</w:t>
      </w:r>
    </w:p>
    <w:p>
      <w:r>
        <w:t>Fund capacity in dollars: not computable, the fund's net assets are not on record (aggregate net assets not yet carried into a fact on record. Verification-queue item), so the plan's dollar demand cannot be set against the fund's dollar capacity and the allocation slider is not shown.</w:t>
      </w:r>
    </w:p>
    <w:p>
      <w:r>
        <w:t>Scenario verdict (ILLUSTRATIVE, this plan): CONDITIONAL-WEAK.</w:t>
      </w:r>
    </w:p>
    <w:p>
      <w:pPr>
        <w:pStyle w:val="ListBullet"/>
      </w:pPr>
      <w:r>
        <w:t>Capacity: 5% per quarter on outstanding shares: at most 20% of the position per year. This is a FUND-level cap shared by every holder, so the plan's position is served only while offers are not oversubscribed.</w:t>
      </w:r>
    </w:p>
    <w:p>
      <w:pPr>
        <w:pStyle w:val="ListBullet"/>
      </w:pPr>
      <w:r>
        <w:t>Filed outflow proxy (Schedule H, plan year 2024-01-01 to 2024-12-31): 11.7% of the position per year vs 20% annual wrapper capacity, the plan's total expenses less administrative expenses over beginning net assets, applied to the position. Adequate headroom at the filed rate if offers are not prorated.</w:t>
      </w:r>
    </w:p>
    <w:p>
      <w:pPr>
        <w:pStyle w:val="ListBullet"/>
      </w:pPr>
      <w:r>
        <w:t>Slider assumption (illustrative): 10.4% of the position per year vs 20% annual wrapper capacity, from tail turnover 20%/yr on the 36.1% of accounts that are separated and active turnover 5%/yr on the rest. Shown beside the filed rate, not blended with it. Within 60% of wrapper capacity at these turnover assumptions.</w:t>
      </w:r>
    </w:p>
    <w:p>
      <w:pPr>
        <w:pStyle w:val="ListBullet"/>
      </w:pPr>
      <w:r>
        <w:t>Scenario verdict (ILLUSTRATIVE, this plan): conditional-weak. Stress rung: the filed outflow proxy 11.7% of the position per year stays within the annual wrapper capacity 20% and the stressed demand 20.5% exceeds it (binding cap 5% per quarter on outstanding shares (3.1), quarterly offers (3.1), program active as of 2026-03-31 (3.1), gating history not on record (3.3)). Per quarter: filed 2.9% and stressed 5.1% of the position against the 5% cap. Proration assumption: an oversubscribed offer is filled pro rata and the unfilled remainder waits for the next window.</w:t>
      </w:r>
    </w:p>
    <w:p>
      <w:pPr>
        <w:pStyle w:val="ListBullet"/>
      </w:pPr>
      <w:r>
        <w:t>Schedule H benefit-payment line 2e is not yet in the plan record. The filed outflow proxy (total expenses less administrative expenses over beginning net assets) stands in for it as the base demand, and the turnover assumptions are the stress around it.</w:t>
      </w:r>
    </w:p>
    <w:p>
      <w:r>
        <w:t>Cited: cell 2.7, cell 3.1, cell 3.3, cell 3.7, the plan record on file (Form 5500, plan year 2024-01-01 to 2024-12-31).</w:t>
      </w:r>
    </w:p>
    <w:p>
      <w:pPr>
        <w:pStyle w:val="Heading1"/>
        <w:keepNext/>
      </w:pPr>
      <w:r>
        <w:t>Peer cohort placement</w:t>
      </w:r>
    </w:p>
    <w:p>
      <w:r>
        <w:t>Evidence depth tier: COHORT. Cohort: Evergreen private equity ('40-Act funds + '34-Act conglomerate) (n=5). Membership rationale: Evergreen PE (Pantheon) tender-offer LLC, wrapper and strategy twin of Hamilton Lane Private Assets Fund and StepStone Private Markets.</w:t>
      </w:r>
    </w:p>
    <w:p>
      <w:r>
        <w:t>Cohort placement (evergreen private equity cohort): mgmt fee: 10th percentile of cohort (n=5), below the median of 1.4 | expense ratio (bases differ, see notes): 30th percentile of cohort (n=5), below the median of 3.19 | repurchase cap: 50th percentile of cohort (n=5), at the median of 5. Statistics and per-member values are in the cohort record, membership rationales in the facts on record.</w:t>
      </w:r>
    </w:p>
    <w:p>
      <w:pPr>
        <w:pStyle w:val="ListBullet"/>
      </w:pPr>
      <w:r>
        <w:t>Caveat: LEVERAGE-REGIME MIX: BDC 150% coverage and non-1940-Act wrappers allow materially more leverage than 1940-Act funds. Fee bases and return volatility are not like-for-like. [per product from the record: AMG Pantheon Fund, LLC: 1940-Act asset-coverage limits, Ares Private Markets Fund: 1940-Act asset-coverage limits, Hamilton Lane Private Assets Fund: 1940-Act asset-coverage limits, KKR Private Equity Conglomerate LLC: no 1940-Act leverage limits (34-Act conglomerate), StepStone Private Markets: 1940-Act asset-coverage limits]</w:t>
      </w:r>
    </w:p>
    <w:p>
      <w:pPr>
        <w:pStyle w:val="ListBullet"/>
      </w:pPr>
      <w:r>
        <w:t>Caveat: LIQUIDITY-LAW MIX: Rule 23c-3 obligations, discretionary tenders, and repurchase plans give different worst-case exit rights. Cadence numbers alone overstate comparability. [by wrapper type: AMG Pantheon Fund, LLC: board-DISCRETIONARY tender offers (nothing compels the next one), Ares Private Markets Fund: board-DISCRETIONARY tender offers (nothing compels the next one), Hamilton Lane Private Assets Fund: board-DISCRETIONARY tender offers (nothing compels the next one), KKR Private Equity Conglomerate LLC: board-discretionary share repurchases, StepStone Private Markets: board-DISCRETIONARY tender offers (nothing compels the next one)]</w:t>
      </w:r>
    </w:p>
    <w:p>
      <w:pPr>
        <w:pStyle w:val="ListBullet"/>
      </w:pPr>
      <w:r>
        <w:t>Caveat: KKR Private Equity Conglomerate LLC joins under the authorized fallback: its structural twins are Reg D vehicles with no public filings (the roster decisions record, 'The KKR Private Equity Conglomerate LLC ruling'). Cross-wrapper caveats apply.</w:t>
      </w:r>
    </w:p>
    <w:p>
      <w:r>
        <w:t>Cohort exclusion log: every candidate considered and not admitted is recorded with its reason in the roster decisions record (shown on the Cohorts view). Membership is an argued judgment, not a tag.</w:t>
      </w:r>
    </w:p>
    <w:p>
      <w:pPr>
        <w:pStyle w:val="Heading1"/>
        <w:keepNext/>
      </w:pPr>
      <w:r>
        <w:t>Advisor-stated inputs (this plan)</w:t>
      </w:r>
    </w:p>
    <w:p>
      <w:r>
        <w:t>An advisor-stated cell is the adopting fiduciary's own input for its plan, signed and dated. It is not evidence, it is never extracted or verified, and the product record's cell stays as it is.</w:t>
      </w:r>
    </w:p>
    <w:p>
      <w:r>
        <w:t>None stated for US media/technology company 401(k) plan (~$570M, New York). The six committee cells (6.6 Plan operational fit, 6.8 Fiduciary capacity self-assessment, 3.7 Plan participant liquidity demand, 2.8 CIT fee schedule, 3.5 TDF/CIT liquidity sleeve, 4.9 CIT unit valuation) remain open.</w:t>
      </w:r>
    </w:p>
    <w:p>
      <w:pPr>
        <w:pStyle w:val="Heading1"/>
        <w:keepNext/>
      </w:pPr>
      <w:r>
        <w:t>Scope and case law</w:t>
      </w:r>
    </w:p>
    <w:p>
      <w:pPr>
        <w:pStyle w:val="Heading2"/>
        <w:keepNext/>
      </w:pPr>
      <w:r>
        <w:t>Scope</w:t>
      </w:r>
    </w:p>
    <w:p>
      <w:r>
        <w:t>This record covers the evaluation of one product as a candidate designated investment alternative for one plan, on the record as of 2026-09-04. It is a selection record. It is not a monitoring record, and nothing in it states a monitoring cadence or a later review.</w:t>
      </w:r>
    </w:p>
    <w:p>
      <w:r>
        <w:t>Every figure in it is a cited cell, a figure read from a cited cell, or a computation from cited series. Every scenario figure is labeled ILLUSTRATIVE. Cells marked extracted-unverified were extracted by an agent and not yet verified by a person. Verbatim regulatory text is in this record and quoted where cited.</w:t>
      </w:r>
    </w:p>
    <w:p>
      <w:pPr>
        <w:pStyle w:val="Heading2"/>
        <w:keepNext/>
      </w:pPr>
      <w:r>
        <w:t>Case law</w:t>
      </w:r>
    </w:p>
    <w:p>
      <w:r>
        <w:t>Cell 5.7 (partial): Anderson v. Intel Corp. Investment Policy Committee, No. 25-498 (U.S.). Certiorari granted 2026-01-16 per the Supreme Court docket listing. Question presented, per the docket as relayed in search-result snippets: whether, for claims predicated on fund underperformance, pleading that an ERISA fiduciary breached the duty of prudence requires alleging a meaningful benchmark. The Ninth Circuit had required plaintiffs to identify a comparable alternative giving a sound basis for comparison, a meaningful benchmark. No holding exists yet, and this cell draws no consequence for the evaluation. Status partial: assembled from the docket listing and search snippets, not from the source documents, which this record could not fetch.</w:t>
      </w:r>
    </w:p>
    <w:p>
      <w:r>
        <w:t>Source: Supreme Court docket 25-498, https://www.supremecourt.gov/docket/docketfiles/html/public/25-498.html (grant date). SCOTUSblog case page, https://www.scotusblog.com/cases/anderson-v-intel-corp-investment-policy-comm/ and CRS Legal Sidebar LSB11396, https://www.congress.gov/crs-product/LSB11396 (question presented, argument term). Accessed 2026-09-04 through web-search snippets only. Extracted: Claude Code (WebSearch snippet, 2026-09-04)</w:t>
      </w:r>
    </w:p>
    <w:p>
      <w:pPr>
        <w:pStyle w:val="Heading1"/>
        <w:keepNext/>
      </w:pPr>
      <w:r>
        <w:t>Provenance</w:t>
      </w:r>
    </w:p>
    <w:p>
      <w:r>
        <w:t>Cell status for this product, from the record's one coverage formula: structured 0, extracted-unverified 27, verified 0, computed 11, partial 3, fetched 1, n/a 13, pending 0. 38 of 42 resolved: 27 evidenced, 11 computed, 4 partial, 13 n/a, 0 verified by a person.</w:t>
      </w:r>
    </w:p>
    <w:p>
      <w:r>
        <w:t>Of the 38 resolved cells (structured, extracted-unverified, verified and computed), 38 carry a source document, 38 a section, 27 a verbatim quote (computed cells carry their computation and inputs instead of a quote) and 38 an extractor. 4 cells are partial or fetched and are not counted as resolved. No cell is verified: no cell has been independently re-checked by a person, and the verifier column is empty on every row. Cells marked extracted-unverified were extracted by an agent from the cited document.</w:t>
      </w:r>
    </w:p>
    <w:p>
      <w:pPr>
        <w:pStyle w:val="Heading2"/>
        <w:keepNext/>
      </w:pPr>
      <w:r>
        <w:t>Sources cited, by filing</w:t>
      </w:r>
    </w:p>
    <w:p>
      <w:pPr>
        <w:keepNext/>
      </w:pPr>
      <w:r>
        <w:t>Every filing an evidenced cell cites, resolved against the filing manifest by accession, with the cells that cite it. A cell whose reference does not resolve is listed after the table with the reason. The source as written in the evidence ledger stays on the ledger row.</w:t>
      </w:r>
    </w:p>
    <w:tbl>
      <w:tblPr>
        <w:tblStyle w:val="TableGrid"/>
        <w:tblW w:type="dxa" w:w="9360"/>
        <w:tblLayout w:type="fixed"/>
        <w:tblLook w:firstColumn="1" w:firstRow="1" w:lastColumn="0" w:lastRow="0" w:noHBand="0" w:noVBand="1" w:val="04A0"/>
      </w:tblPr>
      <w:tblGrid>
        <w:gridCol w:w="1872"/>
        <w:gridCol w:w="4896"/>
        <w:gridCol w:w="2592"/>
      </w:tblGrid>
      <w:tr>
        <w:trPr>
          <w:tblHeader/>
          <w:cantSplit/>
        </w:trPr>
        <w:tc>
          <w:tcPr>
            <w:tcW w:type="dxa" w:w="1872"/>
          </w:tcPr>
          <w:p>
            <w:r>
              <w:t>Filing</w:t>
            </w:r>
          </w:p>
        </w:tc>
        <w:tc>
          <w:tcPr>
            <w:tcW w:type="dxa" w:w="4896"/>
          </w:tcPr>
          <w:p>
            <w:r>
              <w:t>Accession and EDGAR URL</w:t>
            </w:r>
          </w:p>
        </w:tc>
        <w:tc>
          <w:tcPr>
            <w:tcW w:type="dxa" w:w="2592"/>
          </w:tcPr>
          <w:p>
            <w:r>
              <w:t>Cells citing it</w:t>
            </w:r>
          </w:p>
        </w:tc>
      </w:tr>
      <w:tr>
        <w:trPr>
          <w:cantSplit/>
        </w:trPr>
        <w:tc>
          <w:tcPr>
            <w:tcW w:type="dxa" w:w="1872"/>
          </w:tcPr>
          <w:p>
            <w:r>
              <w:t>* 2025-08-01</w:t>
            </w:r>
          </w:p>
        </w:tc>
        <w:tc>
          <w:tcPr>
            <w:tcW w:type="dxa" w:w="4896"/>
          </w:tcPr>
          <w:p>
            <w:r>
              <w:t>accession 0001193125-25-170996</w:t>
            </w:r>
          </w:p>
          <w:p>
            <w:r>
              <w:t>https://www.sec.gov/Archives/edgar/data/1609211/000119312525170996/d36907d424b3.htm</w:t>
            </w:r>
          </w:p>
        </w:tc>
        <w:tc>
          <w:tcPr>
            <w:tcW w:type="dxa" w:w="2592"/>
          </w:tcPr>
          <w:p>
            <w:r>
              <w:t>4.6 (cited as all filings held for the product, 4 held)</w:t>
            </w:r>
          </w:p>
        </w:tc>
      </w:tr>
      <w:tr>
        <w:trPr>
          <w:cantSplit/>
        </w:trPr>
        <w:tc>
          <w:tcPr>
            <w:tcW w:type="dxa" w:w="1872"/>
          </w:tcPr>
          <w:p>
            <w:r>
              <w:t>* 2026-06-09</w:t>
            </w:r>
          </w:p>
        </w:tc>
        <w:tc>
          <w:tcPr>
            <w:tcW w:type="dxa" w:w="4896"/>
          </w:tcPr>
          <w:p>
            <w:r>
              <w:t>accession 0001193125-26-264017</w:t>
            </w:r>
          </w:p>
          <w:p>
            <w:r>
              <w:t>https://www.sec.gov/Archives/edgar/data/1609211/000119312526264017/d138225dncsr.htm</w:t>
            </w:r>
          </w:p>
        </w:tc>
        <w:tc>
          <w:tcPr>
            <w:tcW w:type="dxa" w:w="2592"/>
          </w:tcPr>
          <w:p>
            <w:r>
              <w:t>4.6 (cited as all filings held for the product, 4 held)</w:t>
            </w:r>
          </w:p>
        </w:tc>
      </w:tr>
      <w:tr>
        <w:trPr>
          <w:cantSplit/>
        </w:trPr>
        <w:tc>
          <w:tcPr>
            <w:tcW w:type="dxa" w:w="1872"/>
          </w:tcPr>
          <w:p>
            <w:r>
              <w:t>N-CSR 2026-06-09</w:t>
            </w:r>
          </w:p>
        </w:tc>
        <w:tc>
          <w:tcPr>
            <w:tcW w:type="dxa" w:w="4896"/>
          </w:tcPr>
          <w:p>
            <w:r>
              <w:t>accession 0001193125-26-264017</w:t>
            </w:r>
          </w:p>
          <w:p>
            <w:r>
              <w:t>https://www.sec.gov/Archives/edgar/data/1609211/000119312526264017/d138225dncsr.htm</w:t>
            </w:r>
          </w:p>
        </w:tc>
        <w:tc>
          <w:tcPr>
            <w:tcW w:type="dxa" w:w="2592"/>
          </w:tcPr>
          <w:p>
            <w:r>
              <w:t>1.1, 1.2, 1.3, 1.4, 1.11, 2.1, 2.3, 2.5, 2.6, 2.7, 3.3, 3.4, 3.6, 4.1, 4.2, 4.3, 4.4, 4.5, 5.1, 6.1, 6.2, 6.3, 6.4, 6.5</w:t>
            </w:r>
          </w:p>
        </w:tc>
      </w:tr>
      <w:tr>
        <w:trPr>
          <w:cantSplit/>
        </w:trPr>
        <w:tc>
          <w:tcPr>
            <w:tcW w:type="dxa" w:w="1872"/>
          </w:tcPr>
          <w:p>
            <w:r>
              <w:t>* 2026-07-30</w:t>
            </w:r>
          </w:p>
        </w:tc>
        <w:tc>
          <w:tcPr>
            <w:tcW w:type="dxa" w:w="4896"/>
          </w:tcPr>
          <w:p>
            <w:r>
              <w:t>accession 0000950130-26-000196</w:t>
            </w:r>
          </w:p>
          <w:p>
            <w:r>
              <w:t>https://www.sec.gov/Archives/edgar/data/1609211/000095013026000196/d155376dn2.htm</w:t>
            </w:r>
          </w:p>
        </w:tc>
        <w:tc>
          <w:tcPr>
            <w:tcW w:type="dxa" w:w="2592"/>
          </w:tcPr>
          <w:p>
            <w:r>
              <w:t>4.6 (cited as all filings held for the product, 4 held)</w:t>
            </w:r>
          </w:p>
        </w:tc>
      </w:tr>
      <w:tr>
        <w:trPr>
          <w:cantSplit/>
        </w:trPr>
        <w:tc>
          <w:tcPr>
            <w:tcW w:type="dxa" w:w="1872"/>
          </w:tcPr>
          <w:p>
            <w:r>
              <w:t>N-2 2026-07-30</w:t>
            </w:r>
          </w:p>
        </w:tc>
        <w:tc>
          <w:tcPr>
            <w:tcW w:type="dxa" w:w="4896"/>
          </w:tcPr>
          <w:p>
            <w:r>
              <w:t>accession 0000950130-26-000196</w:t>
            </w:r>
          </w:p>
          <w:p>
            <w:r>
              <w:t>https://www.sec.gov/Archives/edgar/data/1609211/000095013026000196/d155376dn2.htm</w:t>
            </w:r>
          </w:p>
        </w:tc>
        <w:tc>
          <w:tcPr>
            <w:tcW w:type="dxa" w:w="2592"/>
          </w:tcPr>
          <w:p>
            <w:r>
              <w:t>1.1, 1.4, 1.11, 2.1 (matched by form only), 2.2, 2.3, 2.4, 2.5, 2.6, 2.7, 3.1, 3.2, 3.6, 4.1, 4.3, 6.2, 6.3, 6.5</w:t>
            </w:r>
          </w:p>
        </w:tc>
      </w:tr>
      <w:tr>
        <w:trPr>
          <w:cantSplit/>
        </w:trPr>
        <w:tc>
          <w:tcPr>
            <w:tcW w:type="dxa" w:w="1872"/>
          </w:tcPr>
          <w:p>
            <w:r>
              <w:t>* 2026-08-03</w:t>
            </w:r>
          </w:p>
        </w:tc>
        <w:tc>
          <w:tcPr>
            <w:tcW w:type="dxa" w:w="4896"/>
          </w:tcPr>
          <w:p>
            <w:r>
              <w:t>accession 0001193125-26-329591</w:t>
            </w:r>
          </w:p>
          <w:p>
            <w:r>
              <w:t>https://www.sec.gov/Archives/edgar/data/1609211/000119312526329591/d129441dsctoi.htm</w:t>
            </w:r>
          </w:p>
        </w:tc>
        <w:tc>
          <w:tcPr>
            <w:tcW w:type="dxa" w:w="2592"/>
          </w:tcPr>
          <w:p>
            <w:r>
              <w:t>4.6 (cited as all filings held for the product, 4 held)</w:t>
            </w:r>
          </w:p>
        </w:tc>
      </w:tr>
      <w:tr>
        <w:trPr>
          <w:cantSplit/>
        </w:trPr>
        <w:tc>
          <w:tcPr>
            <w:tcW w:type="dxa" w:w="1872"/>
          </w:tcPr>
          <w:p>
            <w:r>
              <w:t>SC TO-I 2026-08-03</w:t>
            </w:r>
          </w:p>
        </w:tc>
        <w:tc>
          <w:tcPr>
            <w:tcW w:type="dxa" w:w="4896"/>
          </w:tcPr>
          <w:p>
            <w:r>
              <w:t>accession 0001193125-26-329591</w:t>
            </w:r>
          </w:p>
          <w:p>
            <w:r>
              <w:t>https://www.sec.gov/Archives/edgar/data/1609211/000119312526329591/d129441dsctoi.htm</w:t>
            </w:r>
          </w:p>
        </w:tc>
        <w:tc>
          <w:tcPr>
            <w:tcW w:type="dxa" w:w="2592"/>
          </w:tcPr>
          <w:p>
            <w:r>
              <w:t>3.1, 3.2, 3.3, 6.1, 6.5</w:t>
            </w:r>
          </w:p>
        </w:tc>
      </w:tr>
    </w:tbl>
    <w:p>
      <w:pPr>
        <w:keepNext/>
      </w:pPr>
      <w:r>
        <w:t>Cells whose reference does not resolve to a manifest row:</w:t>
      </w:r>
    </w:p>
    <w:p>
      <w:pPr>
        <w:pStyle w:val="ListBullet"/>
      </w:pPr>
      <w:r>
        <w:t>1.8: accession not on record: no filing reference in the source field</w:t>
      </w:r>
    </w:p>
    <w:p>
      <w:pPr>
        <w:pStyle w:val="ListBullet"/>
      </w:pPr>
      <w:r>
        <w:t>1.9: accession not on record: no filing reference in the source field</w:t>
      </w:r>
    </w:p>
    <w:p>
      <w:pPr>
        <w:pStyle w:val="ListBullet"/>
      </w:pPr>
      <w:r>
        <w:t>1.12: accession not on record: no filing reference in the source field</w:t>
      </w:r>
    </w:p>
    <w:p>
      <w:pPr>
        <w:pStyle w:val="ListBullet"/>
      </w:pPr>
      <w:r>
        <w:t>2.9: accession not on record: no filing reference in the source field</w:t>
      </w:r>
    </w:p>
    <w:p>
      <w:pPr>
        <w:pStyle w:val="ListBullet"/>
      </w:pPr>
      <w:r>
        <w:t>3.7: accession not on record: no filing reference in the source field</w:t>
      </w:r>
    </w:p>
    <w:p>
      <w:pPr>
        <w:pStyle w:val="ListBullet"/>
      </w:pPr>
      <w:r>
        <w:t>3.8: accession not on record: no filing reference in the source field</w:t>
      </w:r>
    </w:p>
    <w:p>
      <w:pPr>
        <w:pStyle w:val="ListBullet"/>
      </w:pPr>
      <w:r>
        <w:t>3.9: accession not on record: no filing reference in the source field</w:t>
      </w:r>
    </w:p>
    <w:p>
      <w:pPr>
        <w:pStyle w:val="ListBullet"/>
      </w:pPr>
      <w:r>
        <w:t>5.3: accession not on record: no filing reference in the source field</w:t>
      </w:r>
    </w:p>
    <w:p>
      <w:pPr>
        <w:pStyle w:val="ListBullet"/>
      </w:pPr>
      <w:r>
        <w:t>5.4: accession not on record: no filing reference in the source field</w:t>
      </w:r>
    </w:p>
    <w:p>
      <w:pPr>
        <w:pStyle w:val="ListBullet"/>
      </w:pPr>
      <w:r>
        <w:t>5.5: accession not on record: no filing reference in the source field</w:t>
      </w:r>
    </w:p>
    <w:p>
      <w:pPr>
        <w:pStyle w:val="ListBullet"/>
      </w:pPr>
      <w:r>
        <w:t>5.6: accession not on record: no filing reference in the source field</w:t>
      </w:r>
    </w:p>
    <w:p>
      <w:pPr>
        <w:pStyle w:val="ListBullet"/>
      </w:pPr>
      <w:r>
        <w:t>5.7: accession not on record: no filing reference in the source field</w:t>
      </w:r>
    </w:p>
    <w:p>
      <w:r>
        <w:t>Plan record: DOL Form 5500 and Schedule H for plan year 2024-01-01 to 2024-12-31, shown under the plan's anonymized label.</w:t>
      </w:r>
    </w:p>
    <w:p>
      <w:r>
        <w:t>Data sources: SEC EDGAR filings (4 held for this product in the filing manifest, every row with its accession) and DOL EBSA Form 5500 data for the plan, shown under its anonymized label.</w:t>
      </w:r>
    </w:p>
    <w:p>
      <w:pPr>
        <w:pStyle w:val="Heading1"/>
        <w:keepNext/>
      </w:pPr>
      <w:r>
        <w:t>Attachments</w:t>
      </w:r>
    </w:p>
    <w:p>
      <w:r>
        <w:t>Attachment A: the verbatim text of proposed 29 CFR 2550.404a-6 paragraphs (g) to (l), examples included, one document shared by every record and named by the first twelve characters of its content hash, aef7a94680824e5574780e1f614702189d9dafcf1fde58558ff3ac782d3dcd5a.</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Page </w:t>
    </w:r>
    <w:r>
      <w:fldChar w:fldCharType="begin"/>
    </w:r>
    <w:r>
      <w:instrText xml:space="preserve">PAGE</w:instrText>
    </w:r>
    <w:r>
      <w:fldChar w:fldCharType="separate"/>
    </w:r>
    <w:r>
      <w:t>1</w:t>
    </w:r>
    <w:r>
      <w:fldChar w:fldCharType="end"/>
    </w:r>
    <w:r>
      <w:t xml:space="preserve"> of </w:t>
    </w:r>
    <w:r>
      <w:fldChar w:fldCharType="begin"/>
    </w:r>
    <w:r>
      <w:instrText xml:space="preserve">NUMPAGES</w:instrText>
    </w:r>
    <w:r>
      <w:fldChar w:fldCharType="separate"/>
    </w:r>
    <w:r>
      <w:t>1</w:t>
    </w:r>
    <w:r>
      <w:fldChar w:fldCharType="end"/>
    </w:r>
    <w:r>
      <w:t>. Record as of 2026-09-04. DRAFT.</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Investment Selection Record. US media/technology company 401(k) plan (~$570M, New York). AMG Pantheon Fund, LLC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Investment Selection Record: AMG Pantheon Fund, LLC for US media/technology company 401(k) plan (~$570M, New York)</dc:title>
  <dc:subject>Fiduciary Duties in Selecting Designated Investment Alternatives, 91 FR 16088 (Mar. 31, 2026), RIN 1210-AC38, proposed 29 CFR 2550.404a-6, paragraphs (g) to (l)</dc:subject>
  <dc:creator>Tark</dc:creator>
  <cp:keywords>amg_pantheon, plan_tech_media, 2026-09-04</cp:keywords>
  <dc:description>Generated from the record. The fiduciary decides on it.</dc:description>
  <cp:lastModifiedBy>Tark</cp:lastModifiedBy>
  <cp:revision>1</cp:revision>
  <dcterms:created xsi:type="dcterms:W3CDTF">2026-09-04T00:00:00Z</dcterms:created>
  <dcterms:modified xsi:type="dcterms:W3CDTF">2026-09-04T00:00:00Z</dcterms:modified>
  <cp:category>Investment Selection Record</cp:category>
</cp:coreProperties>
</file>