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Blue Owl Credit Income Corp. (perpetual-life non-traded BDC (quarterly 13e-4 tenders), CIK 1812554).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media/technology company 401(k) plan (~$570M, New York) (ILLUSTRATIVE): CONDITIONAL-WEAK.</w:t>
      </w:r>
    </w:p>
    <w:p>
      <w:r>
        <w:t>Meaningful benchmark (paragraph (k)): Cliffwater Direct Lending Index (CDLI) at 8 of 10, cited, series not in the record. Meaningful benchmark by descriptor. No comparison until its series is held. Peer comparison (paragraphs (g) and (h)): relative wealth ratio 1.0127 vs the equal-weight peer composite over 2021 to 2025 (n=4), not a benchmark and not a PME.</w:t>
      </w:r>
    </w:p>
    <w:p>
      <w:r>
        <w:t>Reference comparison, not the meaningful benchmark: Senior loan investable proxy (BKLN, for Morningstar LSTA class), KS-PME 1.1541, Direct Alpha 2.91%/yr over 2021-01-01 to 2025-12-31.</w:t>
      </w:r>
    </w:p>
    <w:p>
      <w:r>
        <w:t>Evidence coverage: 36 of 46 resolved: 26 evidenced, 10 computed, 10 partial, 9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documented-unavailable), 3.5 TDF/CIT liquidity sleeve (not applicable: documented-unavailable), 4.9 CIT unit valuation (not applicable: documented-unavailable).</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5.1 years of history since 2020-11-10 (cell 1.11), net assets of approx. $19.8B (cell 3.6), a KS-PME of 1.1541 against BKLN (cell 1.8) and a relative wealth ratio of 1.0127 against the peer composite (cell 1.12).</w:t>
            </w:r>
          </w:p>
          <w:p>
            <w:r>
              <w:t>Facts on record: 1.8 KS-PME 1.15 vs BKLN (reference, not the benchmark). 1.11 inception 2020-11-10, 5.1 years. 1.12 peer relative wealth ratio 1.01, not a benchmark.</w:t>
            </w:r>
          </w:p>
          <w:p>
            <w:r>
              <w:t>1.1 Net total return series (extracted-unverified): Annual net total returns (NAV-based, DRIP-assumed, net of all fees) by class,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Meaningful benchmark (paragraph (k)), Cliffwater Direct Lending Index (CDLI) scored 8 of 10.</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1.12 Peer comparison (paragraphs (g) and (h)) (computed): Peer comparison (paragraphs (g) and (h)): private credit cohort, peers Cliffwater Corporate Lending Fund, Blackstone Private Credit Fund, PIMCO Flexible Credit Income Fund, CION Ares Diversified Credit Fund, fund return basis filed calendar-year returns (December fiscal year).</w:t>
            </w:r>
          </w:p>
          <w:p>
            <w:r>
              <w:t>Not applicable: 1.7 no sub-annual public series. 1.10 unlisted).</w:t>
            </w:r>
          </w:p>
        </w:tc>
      </w:tr>
      <w:tr>
        <w:trPr>
          <w:cantSplit/>
        </w:trPr>
        <w:tc>
          <w:tcPr>
            <w:tcW w:type="dxa" w:w="1728"/>
          </w:tcPr>
          <w:p>
            <w:r>
              <w:t>2. Fees (h)</w:t>
            </w:r>
          </w:p>
        </w:tc>
        <w:tc>
          <w:tcPr>
            <w:tcW w:type="dxa" w:w="7632"/>
          </w:tcPr>
          <w:p>
            <w:r>
              <w:t>On fees and expenses (h), the management fee is 1.25% on net assets (cell 2.1), the incentive fee is 12.5% / 5% hurdle (cell 2.2), the expense ratio is 8.40% (net, including the interest and financing cost of BDC leverage (FY2025, Class I)) (cell 2.3) and the early repurchase fee is none (cell 2.7).</w:t>
            </w:r>
          </w:p>
          <w:p>
            <w:r>
              <w:t>Facts on record: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2025-12-31 (cell 3.1), the plan's filed outflow proxy is 11.7% of the position per year (the plan record) and the structural verdict is partial with the scenario verdict conditional-weak under this plan (ILLUSTRATIVE, cell 3.9).</w:t>
            </w:r>
          </w:p>
          <w:p>
            <w:r>
              <w:t>Facts on record: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permits ~2:1 debt/equity).</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(dealing terms on record, plan-independent). Scenario verdict under this plan (ILLUSTRATIVE): CONDITIONAL-WEAK. Source: this plan's liquidity match.</w:t>
            </w:r>
          </w:p>
          <w:p>
            <w:r>
              <w:t>Not applicable: 3.5 documented-unavailable.</w:t>
            </w:r>
          </w:p>
        </w:tc>
      </w:tr>
      <w:tr>
        <w:trPr>
          <w:cantSplit/>
        </w:trPr>
        <w:tc>
          <w:tcPr>
            <w:tcW w:type="dxa" w:w="1728"/>
          </w:tcPr>
          <w:p>
            <w:r>
              <w:t>4. Valuation (j)</w:t>
            </w:r>
          </w:p>
        </w:tc>
        <w:tc>
          <w:tcPr>
            <w:tcW w:type="dxa" w:w="7632"/>
          </w:tcPr>
          <w:p>
            <w:r>
              <w:t>On valuation (j), the holder transacts at NAV struck quarterly (the registry descriptors) and the auditor is KPMG LLP (Big 4) (cell 4.5).</w:t>
            </w:r>
          </w:p>
          <w:p>
            <w:r>
              <w:t>Facts on record: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rPr>
          <w:cantSplit/>
        </w:trPr>
        <w:tc>
          <w:tcPr>
            <w:tcW w:type="dxa" w:w="1728"/>
          </w:tcPr>
          <w:p>
            <w:r>
              <w:t>5. Performance Benchmarks (k)</w:t>
            </w:r>
          </w:p>
        </w:tc>
        <w:tc>
          <w:tcPr>
            <w:tcW w:type="dxa" w:w="7632"/>
          </w:tcPr>
          <w:p>
            <w:r>
              <w:t>On performance benchmarks (k), the meaningful benchmark is Cliffwater Direct Lending Index (CDLI), scored 8 of 10 (cell 5.3) and meaningful benchmark by descriptor. No comparison until its series is held.</w:t>
            </w:r>
          </w:p>
          <w:p>
            <w:r>
              <w:t>Facts on record: 5.3 CDLI selected by descriptor, 8 of 10.</w:t>
            </w:r>
          </w:p>
          <w:p>
            <w:r>
              <w:t>5.1 Self-declared benchmark (partial): No self-declared performance benchmark index appears in the FY2025 10-K or the 2025 N-2.</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BDC (cell 6.1), tax reporting is Form 1099 (cell 6.4) and cells 6.6 and 6.8 are advisor-completed under paragraph (l).</w:t>
            </w:r>
          </w:p>
          <w:p>
            <w:r>
              <w:t>Facts on record: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net assets</w:t>
            </w:r>
          </w:p>
        </w:tc>
        <w:tc>
          <w:tcPr>
            <w:tcW w:type="dxa" w:w="2880"/>
          </w:tcPr>
          <w:p>
            <w:r>
              <w:t>extracted-unverified</w:t>
            </w:r>
          </w:p>
        </w:tc>
      </w:tr>
      <w:tr>
        <w:trPr>
          <w:cantSplit/>
        </w:trPr>
        <w:tc>
          <w:tcPr>
            <w:tcW w:type="dxa" w:w="2880"/>
          </w:tcPr>
          <w:p>
            <w:r>
              <w:t>2.2 Incentive fee terms</w:t>
            </w:r>
          </w:p>
        </w:tc>
        <w:tc>
          <w:tcPr>
            <w:tcW w:type="dxa" w:w="3600"/>
          </w:tcPr>
          <w:p>
            <w:r>
              <w:t>incentive fee: 12.5% / 5% hurdle</w:t>
            </w:r>
          </w:p>
        </w:tc>
        <w:tc>
          <w:tcPr>
            <w:tcW w:type="dxa" w:w="2880"/>
          </w:tcPr>
          <w:p>
            <w:r>
              <w:t>extracted-unverified</w:t>
            </w:r>
          </w:p>
        </w:tc>
      </w:tr>
      <w:tr>
        <w:trPr>
          <w:cantSplit/>
        </w:trPr>
        <w:tc>
          <w:tcPr>
            <w:tcW w:type="dxa" w:w="2880"/>
          </w:tcPr>
          <w:p>
            <w:r>
              <w:t>2.3 Total expense ratio &amp; waivers</w:t>
            </w:r>
          </w:p>
        </w:tc>
        <w:tc>
          <w:tcPr>
            <w:tcW w:type="dxa" w:w="3600"/>
          </w:tcPr>
          <w:p>
            <w:r>
              <w:t>8.40% expense ratio, net, including the interest and financing cost of BDC leverage (FY2025, Class I)</w:t>
            </w:r>
          </w:p>
        </w:tc>
        <w:tc>
          <w:tcPr>
            <w:tcW w:type="dxa" w:w="2880"/>
          </w:tcPr>
          <w:p>
            <w:r>
              <w:t>extracted-unverified</w:t>
            </w:r>
          </w:p>
        </w:tc>
      </w:tr>
      <w:tr>
        <w:trPr>
          <w:cantSplit/>
        </w:trPr>
        <w:tc>
          <w:tcPr>
            <w:tcW w:type="dxa" w:w="2880"/>
          </w:tcPr>
          <w:p>
            <w:r>
              <w:t>2.4 AFFE</w:t>
            </w:r>
          </w:p>
        </w:tc>
        <w:tc>
          <w:tcPr>
            <w:tcW w:type="dxa" w:w="3600"/>
          </w:tcPr>
          <w:p>
            <w:r>
              <w:t>AFFE 0.00%</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1.1541, Direct Alpha 2.91%/yr, 2021-01-01 to 2025-12-31</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1.0127, annualized excess return 0.25%/yr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ranked below the selected candidate: 7 of 10 vs 8 of 10 for CDLI</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8 of 10)</w:t>
      </w:r>
    </w:p>
    <w:p>
      <w:r>
        <w:t>Meaningful benchmark by descriptor. No comparison until its series is held. The candidate is selected on its own descriptors. No number is substituted.</w:t>
      </w:r>
    </w:p>
    <w:p>
      <w:r>
        <w:t>Selection recorded 2026-09-04, record b69675e1. Rubric v3.1. The full record hash is b69675e13b31d2aa7b1607c64a5f7bd56d14409a22936cdf0e789c04382a0221.</w:t>
      </w:r>
    </w:p>
    <w:p>
      <w:pPr>
        <w:pStyle w:val="ListBullet"/>
      </w:pPr>
      <w:r>
        <w:t>Strategy match 3 of 3: same asset class and sub-strategy (private credit / direct lending)</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2021-01-01 to 2025-12-31: fund 8.43%/yr (filed calendar-year returns (December fiscal year)) vs the public series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(partial): no self-declared benchmark index appears in the 10-K or the N-2.</w:t>
      </w:r>
    </w:p>
    <w:p>
      <w:pPr>
        <w:pStyle w:val="Heading2"/>
        <w:keepNext/>
      </w:pPr>
      <w:r>
        <w:t>Peer comparison (paragraphs (g) and (h)): private credit cohort</w:t>
      </w:r>
    </w:p>
    <w:p>
      <w:r>
        <w:t>Peers: Cliffwater Corporate Lending Fund, Blackstone Private Credit Fund, PIMCO Flexible Credit Income Fund, CION Ares Diversified Credit Fund. This is the history of similar investments, not the benchmark, and it is never a public market equivalent.</w:t>
      </w:r>
    </w:p>
    <w:p>
      <w:r>
        <w:t>Window 2021 to 2025 (5 calendar-year periods, n=4 peers in every period): fund 8.42%/yr (filed calendar-year returns (December fiscal year)) vs the peer composite 8.15%/yr, relative wealth ratio 1.0127, annualized excess return 0.25%/yr.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CION Ares Diversified Credit Fund: Yahoo adjusted close, approximates NAV total return.</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Blue Owl Credit Income Corp.</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CION Ares Diversified Credit Fund</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n/a</w:t>
            </w:r>
          </w:p>
        </w:tc>
        <w:tc>
          <w:tcPr>
            <w:tcW w:type="dxa" w:w="1498"/>
          </w:tcPr>
          <w:p>
            <w:r>
              <w:t>2.86%</w:t>
            </w:r>
          </w:p>
        </w:tc>
        <w:tc>
          <w:tcPr>
            <w:tcW w:type="dxa" w:w="1498"/>
          </w:tcPr>
          <w:p>
            <w:r>
              <w:t>4.45%</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n/a</w:t>
            </w:r>
          </w:p>
        </w:tc>
        <w:tc>
          <w:tcPr>
            <w:tcW w:type="dxa" w:w="1498"/>
          </w:tcPr>
          <w:p>
            <w:r>
              <w:t>10.63%</w:t>
            </w:r>
          </w:p>
        </w:tc>
        <w:tc>
          <w:tcPr>
            <w:tcW w:type="dxa" w:w="1498"/>
          </w:tcPr>
          <w:p>
            <w:r>
              <w:t>9.5%</w:t>
            </w:r>
          </w:p>
        </w:tc>
      </w:tr>
      <w:tr>
        <w:trPr>
          <w:cantSplit/>
        </w:trPr>
        <w:tc>
          <w:tcPr>
            <w:tcW w:type="dxa" w:w="1296"/>
          </w:tcPr>
          <w:p>
            <w:r>
              <w:t>2020</w:t>
            </w:r>
          </w:p>
        </w:tc>
        <w:tc>
          <w:tcPr>
            <w:tcW w:type="dxa" w:w="576"/>
          </w:tcPr>
          <w:p>
            <w:r>
              <w:t>3</w:t>
            </w:r>
          </w:p>
        </w:tc>
        <w:tc>
          <w:tcPr>
            <w:tcW w:type="dxa" w:w="1498"/>
          </w:tcPr>
          <w:p>
            <w:r>
              <w:t>n/a</w:t>
            </w:r>
          </w:p>
        </w:tc>
        <w:tc>
          <w:tcPr>
            <w:tcW w:type="dxa" w:w="1498"/>
          </w:tcPr>
          <w:p>
            <w:r>
              <w:t>5.39%</w:t>
            </w:r>
          </w:p>
        </w:tc>
        <w:tc>
          <w:tcPr>
            <w:tcW w:type="dxa" w:w="1498"/>
          </w:tcPr>
          <w:p>
            <w:r>
              <w:t>n/a</w:t>
            </w:r>
          </w:p>
        </w:tc>
        <w:tc>
          <w:tcPr>
            <w:tcW w:type="dxa" w:w="1498"/>
          </w:tcPr>
          <w:p>
            <w:r>
              <w:t>4.29%</w:t>
            </w:r>
          </w:p>
        </w:tc>
        <w:tc>
          <w:tcPr>
            <w:tcW w:type="dxa" w:w="1498"/>
          </w:tcPr>
          <w:p>
            <w:r>
              <w:t>2.79%</w:t>
            </w:r>
          </w:p>
        </w:tc>
      </w:tr>
      <w:tr>
        <w:trPr>
          <w:cantSplit/>
        </w:trPr>
        <w:tc>
          <w:tcPr>
            <w:tcW w:type="dxa" w:w="1296"/>
          </w:tcPr>
          <w:p>
            <w:r>
              <w:t>2021</w:t>
            </w:r>
          </w:p>
        </w:tc>
        <w:tc>
          <w:tcPr>
            <w:tcW w:type="dxa" w:w="576"/>
          </w:tcPr>
          <w:p>
            <w:r>
              <w:t>5</w:t>
            </w:r>
          </w:p>
        </w:tc>
        <w:tc>
          <w:tcPr>
            <w:tcW w:type="dxa" w:w="1498"/>
          </w:tcPr>
          <w:p>
            <w:r>
              <w:t>4.3%</w:t>
            </w:r>
          </w:p>
        </w:tc>
        <w:tc>
          <w:tcPr>
            <w:tcW w:type="dxa" w:w="1498"/>
          </w:tcPr>
          <w:p>
            <w:r>
              <w:t>10.38%</w:t>
            </w:r>
          </w:p>
        </w:tc>
        <w:tc>
          <w:tcPr>
            <w:tcW w:type="dxa" w:w="1498"/>
          </w:tcPr>
          <w:p>
            <w:r>
              <w:t>12.6%</w:t>
            </w:r>
          </w:p>
        </w:tc>
        <w:tc>
          <w:tcPr>
            <w:tcW w:type="dxa" w:w="1498"/>
          </w:tcPr>
          <w:p>
            <w:r>
              <w:t>11.29%</w:t>
            </w:r>
          </w:p>
        </w:tc>
        <w:tc>
          <w:tcPr>
            <w:tcW w:type="dxa" w:w="1498"/>
          </w:tcPr>
          <w:p>
            <w:r>
              <w:t>9.21%</w:t>
            </w:r>
          </w:p>
        </w:tc>
      </w:tr>
      <w:tr>
        <w:trPr>
          <w:cantSplit/>
        </w:trPr>
        <w:tc>
          <w:tcPr>
            <w:tcW w:type="dxa" w:w="1296"/>
          </w:tcPr>
          <w:p>
            <w:r>
              <w:t>2022</w:t>
            </w:r>
          </w:p>
        </w:tc>
        <w:tc>
          <w:tcPr>
            <w:tcW w:type="dxa" w:w="576"/>
          </w:tcPr>
          <w:p>
            <w:r>
              <w:t>5</w:t>
            </w:r>
          </w:p>
        </w:tc>
        <w:tc>
          <w:tcPr>
            <w:tcW w:type="dxa" w:w="1498"/>
          </w:tcPr>
          <w:p>
            <w:r>
              <w:t>5.2%</w:t>
            </w:r>
          </w:p>
        </w:tc>
        <w:tc>
          <w:tcPr>
            <w:tcW w:type="dxa" w:w="1498"/>
          </w:tcPr>
          <w:p>
            <w:r>
              <w:t>2.05%</w:t>
            </w:r>
          </w:p>
        </w:tc>
        <w:tc>
          <w:tcPr>
            <w:tcW w:type="dxa" w:w="1498"/>
          </w:tcPr>
          <w:p>
            <w:r>
              <w:t>3.6%</w:t>
            </w:r>
          </w:p>
        </w:tc>
        <w:tc>
          <w:tcPr>
            <w:tcW w:type="dxa" w:w="1498"/>
          </w:tcPr>
          <w:p>
            <w:r>
              <w:t>-15.36%</w:t>
            </w:r>
          </w:p>
        </w:tc>
        <w:tc>
          <w:tcPr>
            <w:tcW w:type="dxa" w:w="1498"/>
          </w:tcPr>
          <w:p>
            <w:r>
              <w:t>-2.85%</w:t>
            </w:r>
          </w:p>
        </w:tc>
      </w:tr>
      <w:tr>
        <w:trPr>
          <w:cantSplit/>
        </w:trPr>
        <w:tc>
          <w:tcPr>
            <w:tcW w:type="dxa" w:w="1296"/>
          </w:tcPr>
          <w:p>
            <w:r>
              <w:t>2023</w:t>
            </w:r>
          </w:p>
        </w:tc>
        <w:tc>
          <w:tcPr>
            <w:tcW w:type="dxa" w:w="576"/>
          </w:tcPr>
          <w:p>
            <w:r>
              <w:t>5</w:t>
            </w:r>
          </w:p>
        </w:tc>
        <w:tc>
          <w:tcPr>
            <w:tcW w:type="dxa" w:w="1498"/>
          </w:tcPr>
          <w:p>
            <w:r>
              <w:t>13.5%</w:t>
            </w:r>
          </w:p>
        </w:tc>
        <w:tc>
          <w:tcPr>
            <w:tcW w:type="dxa" w:w="1498"/>
          </w:tcPr>
          <w:p>
            <w:r>
              <w:t>12.66%</w:t>
            </w:r>
          </w:p>
        </w:tc>
        <w:tc>
          <w:tcPr>
            <w:tcW w:type="dxa" w:w="1498"/>
          </w:tcPr>
          <w:p>
            <w:r>
              <w:t>14.4%</w:t>
            </w:r>
          </w:p>
        </w:tc>
        <w:tc>
          <w:tcPr>
            <w:tcW w:type="dxa" w:w="1498"/>
          </w:tcPr>
          <w:p>
            <w:r>
              <w:t>9.25%</w:t>
            </w:r>
          </w:p>
        </w:tc>
        <w:tc>
          <w:tcPr>
            <w:tcW w:type="dxa" w:w="1498"/>
          </w:tcPr>
          <w:p>
            <w:r>
              <w:t>12.99%</w:t>
            </w:r>
          </w:p>
        </w:tc>
      </w:tr>
      <w:tr>
        <w:trPr>
          <w:cantSplit/>
        </w:trPr>
        <w:tc>
          <w:tcPr>
            <w:tcW w:type="dxa" w:w="1296"/>
          </w:tcPr>
          <w:p>
            <w:r>
              <w:t>2024</w:t>
            </w:r>
          </w:p>
        </w:tc>
        <w:tc>
          <w:tcPr>
            <w:tcW w:type="dxa" w:w="576"/>
          </w:tcPr>
          <w:p>
            <w:r>
              <w:t>5</w:t>
            </w:r>
          </w:p>
        </w:tc>
        <w:tc>
          <w:tcPr>
            <w:tcW w:type="dxa" w:w="1498"/>
          </w:tcPr>
          <w:p>
            <w:r>
              <w:t>11.5%</w:t>
            </w:r>
          </w:p>
        </w:tc>
        <w:tc>
          <w:tcPr>
            <w:tcW w:type="dxa" w:w="1498"/>
          </w:tcPr>
          <w:p>
            <w:r>
              <w:t>12.62%</w:t>
            </w:r>
          </w:p>
        </w:tc>
        <w:tc>
          <w:tcPr>
            <w:tcW w:type="dxa" w:w="1498"/>
          </w:tcPr>
          <w:p>
            <w:r>
              <w:t>11%</w:t>
            </w:r>
          </w:p>
        </w:tc>
        <w:tc>
          <w:tcPr>
            <w:tcW w:type="dxa" w:w="1498"/>
          </w:tcPr>
          <w:p>
            <w:r>
              <w:t>15.27%</w:t>
            </w:r>
          </w:p>
        </w:tc>
        <w:tc>
          <w:tcPr>
            <w:tcW w:type="dxa" w:w="1498"/>
          </w:tcPr>
          <w:p>
            <w:r>
              <w:t>10.39%</w:t>
            </w:r>
          </w:p>
        </w:tc>
      </w:tr>
      <w:tr>
        <w:trPr>
          <w:cantSplit/>
        </w:trPr>
        <w:tc>
          <w:tcPr>
            <w:tcW w:type="dxa" w:w="1296"/>
          </w:tcPr>
          <w:p>
            <w:r>
              <w:t>2025</w:t>
            </w:r>
          </w:p>
        </w:tc>
        <w:tc>
          <w:tcPr>
            <w:tcW w:type="dxa" w:w="576"/>
          </w:tcPr>
          <w:p>
            <w:r>
              <w:t>5</w:t>
            </w:r>
          </w:p>
        </w:tc>
        <w:tc>
          <w:tcPr>
            <w:tcW w:type="dxa" w:w="1498"/>
          </w:tcPr>
          <w:p>
            <w:r>
              <w:t>7.9%</w:t>
            </w:r>
          </w:p>
        </w:tc>
        <w:tc>
          <w:tcPr>
            <w:tcW w:type="dxa" w:w="1498"/>
          </w:tcPr>
          <w:p>
            <w:r>
              <w:t>8.92%</w:t>
            </w:r>
          </w:p>
        </w:tc>
        <w:tc>
          <w:tcPr>
            <w:tcW w:type="dxa" w:w="1498"/>
          </w:tcPr>
          <w:p>
            <w:r>
              <w:t>8%</w:t>
            </w:r>
          </w:p>
        </w:tc>
        <w:tc>
          <w:tcPr>
            <w:tcW w:type="dxa" w:w="1498"/>
          </w:tcPr>
          <w:p>
            <w:r>
              <w:t>12.2%</w:t>
            </w:r>
          </w:p>
        </w:tc>
        <w:tc>
          <w:tcPr>
            <w:tcW w:type="dxa" w:w="1498"/>
          </w:tcPr>
          <w:p>
            <w:r>
              <w:t>7.69%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ranked below the selected candidate: 7 of 10 vs 8 of 10 for CDLI.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(12 consecutive quarterly tenders completed FY2023-FY2025 with no disclosed suspension, BUT tendered-vs-repurchased counts are never disclosed, proration cannot be ruled out from public filings, so a clean False would overclaim).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BDC</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12 consecutive quarterly tenders completed FY2023-FY2025 with no disclosed suspension, BUT tendered-vs-repurchased counts are never disclosed, proration cannot be ruled out from public filings, so a clean False would overclaim</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$19.8B</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$4.0B per year (20% of approx. $19.8B net assets, cell 3.6). The plan's demand at the filed rate is $3.3M per year, 0.08%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Fund capacity in dollars: 20% of approx. $19.8B net assets (cell 3.6) is $4.0B per year. At a 5% allocation ($28.3M) the plan's demand at the filed rate is $3.3M per year, 0.08%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outstanding shares (3.1), quarterly offers (3.1), program active as of 2025-12-31 (3.1), gating history not on record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26, verified 0, computed 10, partial 9, fetched 1, n/a 9, pending 0. 36 of 46 resolved: 26 evidenced, 10 computed, 10 partial, 9 n/a, 0 verified by a person.</w:t>
      </w:r>
    </w:p>
    <w:p>
      <w:r>
        <w:t>Of the 36 resolved cells (structured, extracted-unverified, verified and computed), 36 carry a source document, 36 a section, 26 a verbatim quote (computed cells carry their computation and inputs instead of a quote) and 36 an extractor. 10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N-2 2025-04-15</w:t>
            </w:r>
          </w:p>
        </w:tc>
        <w:tc>
          <w:tcPr>
            <w:tcW w:type="dxa" w:w="4896"/>
          </w:tcPr>
          <w:p>
            <w:r>
              <w:t>accession 0001628280-25-017887</w:t>
            </w:r>
          </w:p>
          <w:p>
            <w:r>
              <w:t>https://www.sec.gov/Archives/edgar/data/1812554/000162828025017887/ck0001812554-20250415.htm</w:t>
            </w:r>
          </w:p>
        </w:tc>
        <w:tc>
          <w:tcPr>
            <w:tcW w:type="dxa" w:w="2592"/>
          </w:tcPr>
          <w:p>
            <w:r>
              <w:t>1.11, 2.3, 2.4, 2.6, 2.7, 4.1, 6.4, 6.5, 6.7</w:t>
            </w:r>
          </w:p>
        </w:tc>
      </w:tr>
      <w:tr>
        <w:trPr>
          <w:cantSplit/>
        </w:trPr>
        <w:tc>
          <w:tcPr>
            <w:tcW w:type="dxa" w:w="1872"/>
          </w:tcPr>
          <w:p>
            <w:r>
              <w:t>10-K 2026-03-03</w:t>
            </w:r>
          </w:p>
        </w:tc>
        <w:tc>
          <w:tcPr>
            <w:tcW w:type="dxa" w:w="4896"/>
          </w:tcPr>
          <w:p>
            <w:r>
              <w:t>accession 0001812554-26-000011</w:t>
            </w:r>
          </w:p>
          <w:p>
            <w:r>
              <w:t>https://www.sec.gov/Archives/edgar/data/1812554/000181255426000011/orcic-20251231.htm</w:t>
            </w:r>
          </w:p>
        </w:tc>
        <w:tc>
          <w:tcPr>
            <w:tcW w:type="dxa" w:w="2592"/>
          </w:tcPr>
          <w:p>
            <w:r>
              <w:t>1.1, 1.2, 1.3, 1.4, 1.5, 1.6, 1.9, 1.11, 2.1, 2.2, 2.5, 2.6, 2.10, 3.1, 3.2 (matched by form only), 3.3, 3.4, 3.6, 4.1 (matched by form only), 4.2, 4.3, 4.4, 4.5, 4.6, 5.1, 6.1 (matched by form only), 6.2, 6.3, 6.4 (matched by form only)</w:t>
            </w:r>
          </w:p>
        </w:tc>
      </w:tr>
      <w:tr>
        <w:trPr>
          <w:cantSplit/>
        </w:trPr>
        <w:tc>
          <w:tcPr>
            <w:tcW w:type="dxa" w:w="1872"/>
          </w:tcPr>
          <w:p>
            <w:r>
              <w:t>SC TO-I 2026-05-26</w:t>
            </w:r>
          </w:p>
        </w:tc>
        <w:tc>
          <w:tcPr>
            <w:tcW w:type="dxa" w:w="4896"/>
          </w:tcPr>
          <w:p>
            <w:r>
              <w:t>accession 0001628280-26-038223</w:t>
            </w:r>
          </w:p>
          <w:p>
            <w:r>
              <w:t>https://www.sec.gov/Archives/edgar/data/1812554/000162828026038223/blueowlcreditincomecorp-sc.htm</w:t>
            </w:r>
          </w:p>
        </w:tc>
        <w:tc>
          <w:tcPr>
            <w:tcW w:type="dxa" w:w="2592"/>
          </w:tcPr>
          <w:p>
            <w:r>
              <w:t>3.2, 3.3, 6.1</w:t>
            </w:r>
          </w:p>
        </w:tc>
      </w:tr>
    </w:tbl>
    <w:p>
      <w:pPr>
        <w:keepNext/>
      </w:pPr>
      <w:r>
        <w:t>Cells whose reference does not resolve to a manifest row:</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Blue Owl Credit Income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Blue Owl Credit Income Corp. for US media/technology company 401(k) plan (~$570M, New York)</dc:title>
  <dc:subject>Fiduciary Duties in Selecting Designated Investment Alternatives, 91 FR 16088 (Mar. 31, 2026), RIN 1210-AC38, proposed 29 CFR 2550.404a-6, paragraphs (g) to (l)</dc:subject>
  <dc:creator>Tark</dc:creator>
  <cp:keywords>ocic,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