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Starwood Real Estate Income Trust, Inc. (non-traded REIT ('34 Act reporting), CIK 1711929). </w:t>
      </w:r>
      <w:r>
        <w:t>Date: 2026-09-04. Status: DRAFT until the committee signs page one. Cells marked extracted-unverified pend independent verification.</w:t>
      </w:r>
    </w:p>
    <w:p>
      <w:pPr>
        <w:pStyle w:val="Heading1"/>
        <w:keepNext/>
      </w:pPr>
      <w:r>
        <w:t>Decision summary</w:t>
      </w:r>
    </w:p>
    <w:p>
      <w:r>
        <w:t>Structural liquidity verdict: MISALIGNED (dealing terms on record, plan-independent). Scenario verdict under US media/technology company 401(k) plan (~$570M, New York) (ILLUSTRATIVE): MISALIGNED.</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Starwood Real Estate Income Trust, Inc. out (2: Blackstone Real Estate Income Trust Inc, JLL Income Property Trust, Inc.).</w:t>
      </w:r>
    </w:p>
    <w:p>
      <w:r>
        <w:t>Reference comparison, not the meaningful benchmark: Listed REIT investable proxy (VNQ), KS-PME 0.9453, Direct Alpha -5.47%/yr over 2024-12-31 to 2025-12-31.</w:t>
      </w:r>
    </w:p>
    <w:p>
      <w:r>
        <w:t>Evidence coverage: 35 of 42 resolved: 24 evidenced, 11 computed, 7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1-year window, shorter than 3 years (benchmark comparison)</w:t>
      </w:r>
    </w:p>
    <w:p>
      <w:pPr>
        <w:pStyle w:val="ListBullet"/>
      </w:pPr>
      <w:r>
        <w:t>Peer comparison: composite refused, fewer than 3 peers remain after leaving Starwood Real Estate Income Trust, Inc. out (2: Blackstone Real Estate Income Trust Inc, JLL Income Property Trust, Inc.) (cell 1.12)</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 years of history since 2017-12-27 (cell 1.11), net assets of approx. $8.3B (cell 3.4) and a KS-PME of 0.9453 against VNQ (cell 1.8).</w:t>
            </w:r>
          </w:p>
          <w:p>
            <w:r>
              <w:t>Facts on record: 1.8 KS-PME 0.95 vs VNQ (reference, not the benchmark).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no underlying third-party GP funds, so no underlying-fund IRR table exists.</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1.12 Peer comparison (paragraphs (g) and (h)) (computed): Peer comparison (paragraphs (g) and (h)): non-traded real estate cohort, peers Blackstone Real Estate Income Trust Inc, JLL Income Property Trust, Inc., fund return basis filed calendar-year returns (December fiscal year).</w:t>
            </w:r>
          </w:p>
          <w:p>
            <w:r>
              <w:t>Not applicable: 1.6 sub-annual return series not free-public for this wrapper. 1.7 sub-annual return series not free-public for this wrapper. 1.10 not exchange-listed.</w:t>
            </w:r>
          </w:p>
        </w:tc>
      </w:tr>
      <w:tr>
        <w:trPr>
          <w:cantSplit/>
        </w:trPr>
        <w:tc>
          <w:tcPr>
            <w:tcW w:type="dxa" w:w="1728"/>
          </w:tcPr>
          <w:p>
            <w:r>
              <w:t>2. Fees (h)</w:t>
            </w:r>
          </w:p>
        </w:tc>
        <w:tc>
          <w:tcPr>
            <w:tcW w:type="dxa" w:w="7632"/>
          </w:tcPr>
          <w:p>
            <w:r>
              <w:t>On fees and expenses (h), the management fee is 1.25% on NAV (cell 2.1), the incentive fee is 12.5% (cell 2.2) and the early repurchase fee is 5% &lt; 1 year (cell 2.7).</w:t>
            </w:r>
          </w:p>
          <w:p>
            <w:r>
              <w:t>Facts on record: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 (wholly owned subsidiary of Starwood Capital Group Holdings): 12.5% of the Operating Partnership's annual total return (defined as distributions paid or accrued plus change in NAV) after other unitholders receive a 5% total return (after recouping any loss carryforward amount), with catch-up until the split is 12.5%/87.5%, then 12.5% thereafter, paid annually in cash or Class I OP units at the Special Limited Partner's election.</w:t>
            </w:r>
          </w:p>
          <w:p>
            <w:r>
              <w:t>2.4 AFFE (extracted-unverified): Not applicable, none exists: SREIT is a '34-Act 10-K filer (not a 1940-Act registered fund), so no 'Acquired Fund Fees and Expenses' line exists or can exist.</w:t>
            </w:r>
          </w:p>
          <w:p>
            <w:r>
              <w:t>2.5 Underlying GP economics (partial): PARTIAL: SREIT owns real estate directly,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a 5% deduction.</w:t>
            </w:r>
          </w:p>
          <w:p>
            <w:r>
              <w:t>2.9 Fee peer percentile (computed): Cohort placement (non-traded real estate cohort):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zero hits for 'expense ratio' in the stripped FY2025 10-K and Q2-2026 10-Q, fee-burden components evidenced in 2.1/2.2/2.6/2.7.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repurchases suspended since the April 29, 2026 amendment (3.1), the repurchase program is suspended as of 2025-12-31 (cell 3.1), requests have been prorated under stress before (cell 3.3), the plan's filed outflow proxy is 11.7% of the position per year (the plan record) and the structural verdict is misaligned with the scenario verdict misaligned under this plan (ILLUSTRATIVE, cell 3.9).</w:t>
            </w:r>
          </w:p>
          <w:p>
            <w:r>
              <w:t>Facts on record: 3.1 repurchases suspended since the April 29, 2026 amendment, the monthly plan is closed to ordinary requests. 3.3 gating history: yes, prorated under stress. 3.4 $8.3B net assets. 3.9 structural verdict misaligned, plan-independent.</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0% annual wrapper capacity, EXCEEDS annual wrapper capacity (20.5% vs 0%). Unmet demand rolls into later windows (gating-equivalent outcome). Source: this plan's liquidity match.</w:t>
            </w:r>
          </w:p>
          <w:p>
            <w:r>
              <w:t>3.9 Product-to-plan liquidity match (computed, this plan): Structural liquidity verdict MISALIGNED (dealing terms on record, plan-independent). Scenario verdict under this plan (ILLUSTRATIVE): MISALIGNED.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investment in real estate debt L1 $0 / L2 $0 / L3 $915,431, derivatives L2 $83,223, total L1 $0 / L2 $83,223 / L3 $915,431 / $998,654.</w:t>
            </w:r>
          </w:p>
          <w:p>
            <w:r>
              <w:t>4.3 Independent valuation agent (extracted-unverified): NAMED: independent valuation advisor is Altus Group U.S. Inc., performs quarterly update appraisals of consolidated real property, reviews the Advisor's monthly valuation updates for reasonableness, considers annual third-party appraisals in its quarterly updates, and reviews valuation guidelines/methodologies with the Advisor and board at least annually.</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 34, report dated March 20, 2026 (Big-4).</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(searched 2026-08-15): SREIT declares NO benchmark index anywhere in the FY2025 10-K, zero hits for MSCI, ODCE and NCREIF, 'NAREIT' appears only as the standard-setter defining FFO ('FFO is a standard REIT industry metric defined by [NAREIT]') plus one incidental director-bio credential (David B. Henry, former Vice Chairman of NAREIT's Board of Governors), never as a comparison index, the word 'benchmark' appears only for interest-rate benchmarks (one-month SOFR, BBSY).</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2024-12-31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zero hits for '1099' in the stripped FY2025 10-K, Q2-2026 10-Q and 424B3 Supplement No. 7 (searched 2026-08-15).</w:t>
            </w:r>
          </w:p>
          <w:p>
            <w:r>
              <w:t>6.5 Service-provider web (partial): PARTIAL: names as printed in the 10-K, Auditor: Deloitte &amp; Touche LLP, New York (since 2017, PCAOB ID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and 3.1/3.3.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non-traded REIT, zero hits for 'expense ratio' in the stripped FY2025 10-K and Q2-2026 10-Q, fee-burden components evidenced in 2.1/2.2/2.6/2.7</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0.9453, Direct Alpha -5.47%/yr, 2024-12-31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Starwood Real Estate Income Trust, Inc. out (2: Blackstone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7dc13b13. Rubric v3.1. The full record hash is 7dc13b13d114541f9c5f2906bdf8faad5dd4b553fe164533c137995867c7613c.</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whose repurchases are suspended (repurchases suspended (ordinary requests not accepted, capacity 0%)): the index carries no such closure,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2024-12-31 to 2025-12-31: fund -2.4%/yr (filed calendar-year returns (December fiscal year)) vs the public series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SREIT declares no benchmark index anywhere in the FY2025 10-K.</w:t>
      </w:r>
    </w:p>
    <w:p>
      <w:pPr>
        <w:pStyle w:val="Heading2"/>
        <w:keepNext/>
      </w:pPr>
      <w:r>
        <w:t>Peer comparison (paragraphs (g) and (h)): non-traded real estate cohort</w:t>
      </w:r>
    </w:p>
    <w:p>
      <w:r>
        <w:t>Peers: Blackstone Real Estate Income Trust Inc, JLL Income Property Trust, Inc. This is the history of similar investments, not the benchmark, and it is never a public market equivalent.</w:t>
      </w:r>
    </w:p>
    <w:p>
      <w:pPr>
        <w:keepNext/>
      </w:pPr>
      <w:r>
        <w:t>Composite refused: fewer than 3 peers remain after leaving Starwood Real Estate Income Trust, Inc. out (2: Blackstone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Starwood Real Estate Income Trust, Inc.</w:t>
            </w:r>
          </w:p>
        </w:tc>
        <w:tc>
          <w:tcPr>
            <w:tcW w:type="dxa" w:w="2496"/>
          </w:tcPr>
          <w:p>
            <w:r>
              <w:t>Blackstone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-2.4%</w:t>
            </w:r>
          </w:p>
        </w:tc>
        <w:tc>
          <w:tcPr>
            <w:tcW w:type="dxa" w:w="2496"/>
          </w:tcPr>
          <w:p>
            <w:r>
              <w:t>8.1%</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(repurchases suspended (ordinary requests not accepted, capacity 0%)):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keepNext/>
      </w:pPr>
      <w:r>
        <w:t>Early repurchase economics: 5%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repurchases suspended since the April 29, 2026 amendment (3.1)</w:t>
            </w:r>
          </w:p>
        </w:tc>
        <w:tc>
          <w:tcPr>
            <w:tcW w:type="dxa" w:w="1152"/>
          </w:tcPr>
          <w:p>
            <w:r>
              <w:t>3.1</w:t>
            </w:r>
          </w:p>
        </w:tc>
      </w:tr>
      <w:tr>
        <w:trPr>
          <w:cantSplit/>
        </w:trPr>
        <w:tc>
          <w:tcPr>
            <w:tcW w:type="dxa" w:w="2448"/>
          </w:tcPr>
          <w:p>
            <w:r>
              <w:t>Repurchase caps</w:t>
            </w:r>
          </w:p>
        </w:tc>
        <w:tc>
          <w:tcPr>
            <w:tcW w:type="dxa" w:w="5760"/>
          </w:tcPr>
          <w:p>
            <w:r>
              <w:t>0% per month for ordinary requests (suspended), 0% per year</w:t>
            </w:r>
          </w:p>
        </w:tc>
        <w:tc>
          <w:tcPr>
            <w:tcW w:type="dxa" w:w="1152"/>
          </w:tcPr>
          <w:p>
            <w:r>
              <w:t>3.1</w:t>
            </w:r>
          </w:p>
        </w:tc>
      </w:tr>
      <w:tr>
        <w:trPr>
          <w:cantSplit/>
        </w:trPr>
        <w:tc>
          <w:tcPr>
            <w:tcW w:type="dxa" w:w="2448"/>
          </w:tcPr>
          <w:p>
            <w:r>
              <w:t>Annual capacity (binding cap)</w:t>
            </w:r>
          </w:p>
        </w:tc>
        <w:tc>
          <w:tcPr>
            <w:tcW w:type="dxa" w:w="5760"/>
          </w:tcPr>
          <w:p>
            <w:r>
              <w:t>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suspended as of 2025-12-31</w:t>
            </w:r>
          </w:p>
        </w:tc>
        <w:tc>
          <w:tcPr>
            <w:tcW w:type="dxa" w:w="1152"/>
          </w:tcPr>
          <w:p>
            <w:r>
              <w:t>3.1</w:t>
            </w:r>
          </w:p>
        </w:tc>
      </w:tr>
      <w:tr>
        <w:trPr>
          <w:cantSplit/>
        </w:trPr>
        <w:tc>
          <w:tcPr>
            <w:tcW w:type="dxa" w:w="2448"/>
          </w:tcPr>
          <w:p>
            <w:r>
              <w:t>Early repurchase fee</w:t>
            </w:r>
          </w:p>
        </w:tc>
        <w:tc>
          <w:tcPr>
            <w:tcW w:type="dxa" w:w="5760"/>
          </w:tcPr>
          <w:p>
            <w:r>
              <w:t>5% if held &lt; 1 year (2.7)</w:t>
            </w:r>
          </w:p>
        </w:tc>
        <w:tc>
          <w:tcPr>
            <w:tcW w:type="dxa" w:w="1152"/>
          </w:tcPr>
          <w:p>
            <w:r>
              <w:t>2.7</w:t>
            </w:r>
          </w:p>
        </w:tc>
      </w:tr>
      <w:tr>
        <w:trPr>
          <w:cantSplit/>
        </w:trPr>
        <w:tc>
          <w:tcPr>
            <w:tcW w:type="dxa" w:w="2448"/>
          </w:tcPr>
          <w:p>
            <w:r>
              <w:t>Fund net assets (for the dollar capacity)</w:t>
            </w:r>
          </w:p>
        </w:tc>
        <w:tc>
          <w:tcPr>
            <w:tcW w:type="dxa" w:w="5760"/>
          </w:tcPr>
          <w:p>
            <w:r>
              <w:t>approx. $8.3B</w:t>
            </w:r>
          </w:p>
        </w:tc>
        <w:tc>
          <w:tcPr>
            <w:tcW w:type="dxa" w:w="1152"/>
          </w:tcPr>
          <w:p>
            <w:r>
              <w:t>3.4</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0%). Unmet demand rolls into later windows (gating-equivalent outcome).</w:t>
      </w:r>
    </w:p>
    <w:p>
      <w:r>
        <w:t>Fund capacity in dollars: not computable, the wrapper's annual capacity is 0% while repurchases are suspended, so the plan's share of it is undefined and the allocation slider is not shown.</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Filed outflow proxy (Schedule H, plan year 2024-01-01 to 2024-12-31): 11.7% of the position per year vs 0% annual wrapper capacity, the plan's total expenses less administrative expenses over beginning net assets, applied to the position. EXCEEDS: repurchases are closed, so every request waits for the program to reopen.</w:t>
      </w:r>
    </w:p>
    <w:p>
      <w:pPr>
        <w:pStyle w:val="ListBullet"/>
      </w:pPr>
      <w:r>
        <w:t>Slider assumption (illustrative): 10.4% of the position per year vs 0% annual wrapper capacity, from tail turnover 20%/yr on the 36.1% of accounts that are separated and active turnover 5%/yr on the rest. Shown beside the filed rate, not blended with it. EXCEEDS: repurchases are closed, so every request waits for the program to reopen.</w:t>
      </w:r>
    </w:p>
    <w:p>
      <w:pPr>
        <w:pStyle w:val="ListBullet"/>
      </w:pPr>
      <w:r>
        <w:t>Scenario verdict (ILLUSTRATIVE, this plan): misaligned. Base rung: the filed outflow proxy 11.7% of the position per year exceeds the annual wrapper capacity 0% (repurchases suspended (3.1), prorated under stress before (3.3)).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Non-traded NAV REITs (n=3). Membership rationale: Non-traded monthly-NAV REIT,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11, partial 6, fetched 1, n/a 13, pending 0. 35 of 42 resolved: 24 evidenced, 11 computed, 7 partial, 13 n/a, 0 verified by a person.</w:t>
      </w:r>
    </w:p>
    <w:p>
      <w:r>
        <w:t>Of the 35 resolved cells (structured, extracted-unverified, verified and computed), 35 carry a source document, 35 a section, 24 a verbatim quote (computed cells carry their computation and inputs instead of a quote) and 35 an extractor. 7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2026-03-20</w:t>
            </w:r>
          </w:p>
        </w:tc>
        <w:tc>
          <w:tcPr>
            <w:tcW w:type="dxa" w:w="4896"/>
          </w:tcPr>
          <w:p>
            <w:r>
              <w:t>accession 0001193125-26-117060</w:t>
            </w:r>
          </w:p>
          <w:p>
            <w:r>
              <w:t>https://www.sec.gov/Archives/edgar/data/1711929/000119312526117060/ck0001711929-20251231.htm</w:t>
            </w:r>
          </w:p>
        </w:tc>
        <w:tc>
          <w:tcPr>
            <w:tcW w:type="dxa" w:w="2592"/>
          </w:tcPr>
          <w:p>
            <w:r>
              <w:t>1.1, 1.2, 1.3, 1.4, 1.5, 1.11, 2.1, 2.2, 2.4, 2.5, 2.6, 2.7, 3.1, 3.2, 3.3, 3.4, 3.6, 4.1, 4.2, 4.3, 4.4, 4.5, 4.6, 5.1, 6.1, 6.2, 6.3, 6.4, 6.5</w:t>
            </w:r>
          </w:p>
        </w:tc>
      </w:tr>
      <w:tr>
        <w:trPr>
          <w:cantSplit/>
        </w:trPr>
        <w:tc>
          <w:tcPr>
            <w:tcW w:type="dxa" w:w="1872"/>
          </w:tcPr>
          <w:p>
            <w:r>
              <w:t>10-Q 2026-08-12</w:t>
            </w:r>
          </w:p>
        </w:tc>
        <w:tc>
          <w:tcPr>
            <w:tcW w:type="dxa" w:w="4896"/>
          </w:tcPr>
          <w:p>
            <w:r>
              <w:t>accession 0001193125-26-346339</w:t>
            </w:r>
          </w:p>
          <w:p>
            <w:r>
              <w:t>https://www.sec.gov/Archives/edgar/data/1711929/000119312526346339/ck0001711929-20260630.htm</w:t>
            </w:r>
          </w:p>
        </w:tc>
        <w:tc>
          <w:tcPr>
            <w:tcW w:type="dxa" w:w="2592"/>
          </w:tcPr>
          <w:p>
            <w:r>
              <w:t>1.1, 1.2, 1.4, 2.1, 2.2, 2.4, 2.6, 3.1, 3.3, 3.4, 4.4, 4.6, 6.1, 6.4</w:t>
            </w:r>
          </w:p>
        </w:tc>
      </w:tr>
      <w:tr>
        <w:trPr>
          <w:cantSplit/>
        </w:trPr>
        <w:tc>
          <w:tcPr>
            <w:tcW w:type="dxa" w:w="1872"/>
          </w:tcPr>
          <w:p>
            <w:r>
              <w:t>424B3 2026-08-14</w:t>
            </w:r>
          </w:p>
        </w:tc>
        <w:tc>
          <w:tcPr>
            <w:tcW w:type="dxa" w:w="4896"/>
          </w:tcPr>
          <w:p>
            <w:r>
              <w:t>accession 0001193125-26-351388</w:t>
            </w:r>
          </w:p>
          <w:p>
            <w:r>
              <w:t>https://www.sec.gov/Archives/edgar/data/1711929/000119312526351388/ck0001711929-20260813.htm</w:t>
            </w:r>
          </w:p>
        </w:tc>
        <w:tc>
          <w:tcPr>
            <w:tcW w:type="dxa" w:w="2592"/>
          </w:tcPr>
          <w:p>
            <w:r>
              <w:t>1.1, 3.3, 6.4</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Starwood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Starwood Real Estate Income Trust, Inc. for US media/technology company 401(k) plan (~$570M, New York)</dc:title>
  <dc:subject>Fiduciary Duties in Selecting Designated Investment Alternatives, 91 FR 16088 (Mar. 31, 2026), RIN 1210-AC38, proposed 29 CFR 2550.404a-6, paragraphs (g) to (l)</dc:subject>
  <dc:creator>Tark</dc:creator>
  <cp:keywords>sreit,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