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Blackstone Real Estate Income Trust Inc (non-traded REIT ('34 Act reporting), CIK 1662972)</w:t>
        <w:br/>
      </w:r>
      <w:r>
        <w:t>Date: 2026-07-18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1.4: PARTIAL: $2.4B monthly net distributions declared FY2025; avg annualized distribution rate by class (I 4.8%, S 3.9%, D 4.6%, T 4.0%). ROC split pending.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1.25% of NAV per annum, payable monthly (can be paid in cash or shares). Side fee: 1.0% of gross rents on DST program assets.</w:t>
              <w:br/>
              <w:t>2.2: Performance participation w/ hurdle + high-water mechanics - AND a live miss: FY2024 total return did not exceed the hurdle, producing a $105.0M Quarterly Shortfall; from 1/1/2025 the 2024 Shortfall Obligation accrues 5%</w:t>
              <w:br/>
              <w:t>2.7: PARTIAL: Early Repurchase Deduction EXISTS (excluded from the 2%/5% cap math); rate pending targeted read.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Repurchase caps: 2% of aggregate NAV per MONTH, 5% per QUARTER (measured on prior-period NAV; Early Repurchase Deduction excluded). Board may modify/suspend if requests burden liquidity.</w:t>
              <w:br/>
              <w:t>3.3: CONFIRMED in issuer's own words: repurchase requests have exceeded plan limits in the past; shares repurchased pro rata; 'periods of prorated fulfillment' acknowledged (the 2022-24 gating). Monthly request-vs-fulfilled t</w:t>
              <w:br/>
              <w:t>3.6: Charter leverage limit: borrowing capped at 300% of cost of net assets (approx 75% of cost of investments) absent independent-director override with disclosure.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4.4: Appraisal assumptions by property type (12/31/2025): Rental Housing 7.2% discount / 5.4% exit cap; Industrial 7.5% / 5.5%; Net Lease 6.6% / (further rows in table). Cell 4.4's richest disclosure on the roster.</w:t>
              <w:br/>
              <w:t>4.5: Deloitte &amp; Touche LLP, New York; auditor since 2016 (Big-4).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No cells evaluated yet — pending extraction.</w:t>
            </w:r>
          </w:p>
        </w:tc>
      </w:tr>
    </w:tbl>
    <w:p>
      <w:pPr>
        <w:pStyle w:val="Heading1"/>
      </w:pPr>
      <w:r>
        <w:t>Benchmark selection and justification</w:t>
      </w:r>
    </w:p>
    <w:p>
      <w:r>
        <w:t>Engine profile pending for this product — extraction depth required before selection.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extracted: 6, n/a: 10, partial: 3, pending: 35.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