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2026-07-18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>1.6: Ann vol (observed, monthly adj-close) 2.07% full-history / 2.11% to FYE; ann return 7.91% / 7.98%. TR-gap vs disclosed 9.34% flagged for CF2.</w:t>
              <w:br/>
              <w:t>1.7: Geltner de-smoothed ann vol 2.39% (rho 0.139) / 2.45% to FYE. Finding: mild lag-1 smoothing; the level comparison vs index (1.71% vs 6.15%, fund-disclosed) is the stronger smoothing evidence.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4.8: SMOOTHING FLAG (fund's own disclosure): annualized std dev 1.71% since inception vs 6.15% for the loan index - textbook appraisal-NAV smoothing signature. Prime de-smoothing demo case.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comparators: Morningstar LSTA US Leveraged Loan Index (primary) + a Bloomberg intermediate investment-grade bond index (secondary). Adviser publishes the Cliffwater Direct Lending Index (CDLI) - provider-independe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8.01%/yr vs benchmark 4.55%/yr; KS-PME 1.2519; Direct Alpha 3.21%/yr.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8.01%/yr vs benchmark 4.55%/yr; KS-PME 1.2519; Direct Alpha 3.21%/yr.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  <w:tr>
        <w:tc>
          <w:tcPr>
            <w:tcW w:type="dxa" w:w="3456"/>
          </w:tcPr>
          <w:p>
            <w:r>
              <w:t>Peer cohort: same-strategy interval credit funds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3, extracted: 5, fetched: 1, n/a: 9, partial: 4, pending: 32.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