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2026-07-18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1.2: Total Return on MARKET VALUE: +613.45% (2024, listing year) then (47.96)% (2025) - the premium/discount pathology quantified in the fund's own highlights. NAV-based returns pending table read.</w:t>
              <w:br/>
              <w:t>1.6: Ann vol 162.6% (daily); max drawdown -90.3% (peak $99.79 on 2024-04-08 to trough $9.63 on 2024-08-07).</w:t>
              <w:br/>
              <w:t>1.10: Full trading-life price series on disk (579 sessions since 2024-03-26 listing): first $9.00, peak $99.79, last $25.97, cumulative +188.6%. Premium/NAV decomposition pending NAV series - the engine escalation.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Base management fee 2.00% per annum (Advisory Agreement dated Apr 29, 2022). High for a listed CEF - evaluative datum.</w:t>
              <w:br/>
              <w:t>2.3: Expense ratio 4.53% of avg net assets (FY2025); prior years 6.28 / 5.92 / 5.13. Net assets $438.0M at 12/31/2025 (vs $70.0M a year prior - the 2025 ATM raise, ~$324M net proceeds).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4.2: PARTIAL: portfolio predominantly Level 3 - 'Level 3 securities fair valued using significant unobservable inputs' (SOI footnote b); dollar hierarchy table pending read.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2, extracted: 4, n/a: 11, partial: 1, pending: 36.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