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1.8: KS-PME 1.9565, Direct Alpha +14.37%/yr vs PSP over fiscal window 2021-03-31 to 2026-03-31 - DISCLOSED as window-sensitive and smoothing-flattered (window opens at listed-PE peak; appraisal-lagged NAV sailed through 2022)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MANAGED ASSETS (not net assets - includes leverage), calculated monthly, paid quarterly. NOTE: fee-base trap from dictionary 2.1 confirmed in the wild.</w:t>
              <w:br/>
              <w:t>2.2: PARTIAL upgraded: Incentive Fee accrued monthly, calculated PER INVESTMENT (each Direct, Secondary, Listed PE, Opportunistic investment separately) - unusual per-deal structure. Rate still pending ('INVESTMENT MANAGEMENT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2.7: 2.00% early repurchase fee if held under 1 year (FIFO).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3.6: Line of credit payable $76,482,442 at FY26; total borrowings trend (000s) FY26 76,482 vs FY25 36,192.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4.2: PARTIAL: transfers INTO Level 3 during period disclosed; full ASC 820 dollar table needs human read of fair-value note.</w:t>
              <w:br/>
              <w:t>4.5: Cohen &amp; Company, Ltd., Cleveland OH. Auditor of HL funds since 2020. Opinion dated May 29, 2026. NOTE: not Big-4 - a live evaluative datum for this cell.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1, extracted: 8, n/a: 9, partial: 3, pending: 33.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