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2026-07-18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1.2: PARTIAL: per-class Transactional NAV Total Returns table located (Classes D/I/S/U/R-D/R-I/R-U; newest class inceptions Feb 2025); values pending table read. 27 portfolio cos; $3,848.7M invested FY2025.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2.7: PARTIAL: an early repurchase fee EXISTS, calculated on Transactional NAV; rate pending targeted read of Repurchase Limitations section.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4.5: Deloitte &amp; Touche LLP, San Francisco; auditor since 2022 (Big-4).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extracted: 5, n/a: 10, partial: 3, pending: 36.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