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StepStone Private Markets (tender-offer fund ('40 Act), CIK 1789470)</w:t>
        <w:br/>
      </w:r>
      <w:r>
        <w:t>Date: 2026-07-18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1.2: Class I FY2026 total return 10.47%. AATR as of 3/31/2026: Class I 1yr 10.47% / 5yr 12.92% / SI 19.19%; Class D 10.19 / 12.72 / 18.96. Class I/D/S inception 10/1/2020; Class R 1/2/2026.</w:t>
              <w:br/>
              <w:t>1.8: KS-PME 1.762, Direct Alpha +12.0%/yr vs PSP (same fiscal window, same window-sensitivity disclosure); vs URTH: PME 1.1155, +2.21%/yr.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1.40% annualized on daily NET ASSETS (contrast: PAF charges same 1.40% on MANAGED ASSETS incl. leverage — fee-base comparison lands).</w:t>
              <w:br/>
              <w:t>2.2: No fund-level incentive fee identified in N-CSR or prospectus. Underlying Investment Funds charge 1.00%-2.00% mgmt + performance fees (the AFFE layer).</w:t>
              <w:br/>
              <w:t>2.7: No early-repurchase-fee language matched in prospectus or N-CSR - likely none at fund level; confirm in tender-offer terms.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Quarterly tender offers: up to 5% of OUTSTANDING SHARES (vs PAF's 5% of net assets - different cap base), purchased at NAV.</w:t>
              <w:br/>
              <w:t>3.6: Cash $247.3M + $300.0M undrawn credit facility as of 3/31/2026. Fund net assets $5,828.9M; 533 positions.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4.5: Ernst &amp; Young LLP, New York (Big-4).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Stated primary benchmark: MSCI World Index.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6.4: 1099 reporting, marketed as a feature: prospectus lists 'Form 1099 DIV or Form 1099-B tax reporting instead of K-1s' under Favorable Structure - the direct contrast to K-PEC's K-1s. The complexity factor's cleanest cross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Listed private equity investable proxy (PSP) — score 9/12</w:t>
      </w:r>
    </w:p>
    <w:p>
      <w:r>
        <w:t>Window 2021-03-31 to 2026-03-31: fund 12.92%/yr vs benchmark 0.83%/yr; KS-PME 1.762; Direct Alpha 12.0%/yr.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listed GPs/holdcos - PE exposure with public-market beta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MSCI World investable proxy (URTH) — score 8/12</w:t>
      </w:r>
    </w:p>
    <w:p>
      <w:r>
        <w:t>Window 2021-03-31 to 2026-03-31: fund 12.92%/yr vs benchmark 10.48%/yr; KS-PME 1.1155; Direct Alpha 2.21%/yr.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1/3: public equities - liquidity/leverage profile differs materially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PME / Direct Alpha vs PSP</w:t>
            </w:r>
          </w:p>
        </w:tc>
        <w:tc>
          <w:tcPr>
            <w:tcW w:type="dxa" w:w="1152"/>
          </w:tcPr>
          <w:p>
            <w:r>
              <w:t>8/12</w:t>
            </w:r>
          </w:p>
        </w:tc>
        <w:tc>
          <w:tcPr>
            <w:tcW w:type="dxa" w:w="4752"/>
          </w:tcPr>
          <w:p>
            <w:r>
              <w:t>outranked: score 8/12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Cambridge Associates US PE benchmark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Peer cohort: evergreen PE funds in universe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8/12 - only two slots; retained in log as viable alternate</w:t>
            </w:r>
          </w:p>
        </w:tc>
      </w:tr>
    </w:tbl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1, extracted: 7, n/a: 9, partial: 2, pending: 35.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