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Global management-consulting firm profit-sharing/401(k) plan (~$9.8B, NY)</w:t>
      </w:r>
      <w:r>
        <w:t xml:space="preserve">. Product: Blackstone Real Estate Income Trust Inc (non-traded REIT ('34 Act reporting), CIK 1662972). </w:t>
      </w:r>
      <w:r>
        <w:t>Date: 2026-09-04. Status: DRAFT until the committee signs page one. Cells marked extracted-unverified pend independent verification.</w:t>
      </w:r>
    </w:p>
    <w:p>
      <w:pPr>
        <w:pStyle w:val="Heading1"/>
        <w:keepNext/>
      </w:pPr>
      <w:r>
        <w:t>Decision summary</w:t>
      </w:r>
    </w:p>
    <w:p>
      <w:r>
        <w:t>Structural liquidity verdict: CONDITIONAL-WEAK (dealing terms on record, plan-independent). Scenario verdict under Global management-consulting firm profit-sharing/401(k) plan (~$9.8B, NY) (ILLUSTRATIVE): CONDITIONAL.</w:t>
      </w:r>
    </w:p>
    <w:p>
      <w:r>
        <w:t>Meaningful benchmark (paragraph (k)): NCREIF Fund Index, ODCE (private core RE) at 7 of 10, cited, series not in the record. Meaningful benchmark by descriptor. No comparison until its series is held. Peer comparison (paragraphs (g) and (h)): composite refused, fewer than 3 peers remain after leaving Blackstone Real Estate Income Trust Inc out (2: Starwood Real Estate Income Trust, Inc., JLL Income Property Trust, Inc.).</w:t>
      </w:r>
    </w:p>
    <w:p>
      <w:r>
        <w:t>Reference comparison, not the meaningful benchmark: Listed REIT investable proxy (VNQ), KS-PME 0.9064, Direct Alpha -3.22%/yr over 2022-12-31 to 2025-12-31.</w:t>
      </w:r>
    </w:p>
    <w:p>
      <w:r>
        <w:t>Evidence coverage: 34 of 43 resolved: 20 evidenced, 14 computed, 9 partial, 12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Peer comparison: composite refused, fewer than 3 peers remain after leaving Blackstone Real Estate Income Trust Inc out (2: Starwood Real Estate Income Trust, Inc., JLL Income Property Trust, Inc.) (cell 1.12)</w:t>
      </w:r>
    </w:p>
    <w:p>
      <w:pPr>
        <w:pStyle w:val="ListBullet"/>
      </w:pPr>
      <w:r>
        <w:t>Liquidity: gating precedent, repurchases prorated under stress (cell 3.3)</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a KS-PME of 0.9064 against VNQ (cell 1.8).</w:t>
            </w:r>
          </w:p>
          <w:p>
            <w:r>
              <w:t>Facts on record: 1.8 KS-PME 0.91 vs VNQ (reference, not the benchmark).</w:t>
            </w:r>
          </w:p>
          <w:p>
            <w:r>
              <w:t>1.1 Net total return series (extracted-unverified): FULL printed monthly NAV/share series, Class I, Jan 2023 - Dec 2025 (36 points) + Jun 2026 from the 10-Q, structured at the monthly NAV series on record (adversarially verified vs raw HTML, Jan-May 2026 not printed anywhere, NOT interpolated).</w:t>
            </w:r>
          </w:p>
          <w:p>
            <w:r>
              <w:t>1.2 Trailing &amp; calendar-year returns (extracted-unverified): FY2025 10-K '2025 Highlights' table (classes in order I | S | S-2 | D | D-2 | T | T-2): Year-to-Date (2025) Total Return, without upfront selling commissions: 8.1% | 7.2% | 3.2% | 7.8% | 3.1% | 7.2% | 3.4%, assuming maximum upfront selling commissions: N/A | 3.5% | (0.3)% | 6.2% | 1.6% | 3.5% | (0.1)%.</w:t>
            </w:r>
          </w:p>
          <w:p>
            <w:r>
              <w:t>1.4 Distribution history &amp; composition (extracted-unverified): EXTENSION (tax character + per-class detail, FY2025 10-K): Distributions for the year ended December 31, 2025 were characterized for federal income tax purposes as 100% return of capital (0% ordinary income, 0% capital gains), 2024: 96.27% ROC / 3.73% capital gains, 2023: 85.01% ROC / 14.99% capital gains.</w:t>
            </w:r>
          </w:p>
          <w:p>
            <w:r>
              <w:t>1.5 Underlying sleeve/GP performance (partial): BREIT owns real estate directly (wholly owned and via JVs), there are no underlying GP funds, so no underlying fund IRR table exists in the filings.</w:t>
            </w:r>
          </w:p>
          <w:p>
            <w:r>
              <w:t>1.6 Volatility &amp; max drawdown (computed): Computed from the fund's own printed monthly NAV path (Class I, 2023-01-31 to 2025-12-31 (contiguous monthly), n=35 monthly returns): annualized NAV-path volatility 2.41%, NAV-path max drawdown -7.93%.</w:t>
            </w:r>
          </w:p>
          <w:p>
            <w:r>
              <w:t>1.7 De-smoothed volatility (computed): De-smoothed (Geltner AR1) annualized NAV-path volatility 4.12% vs 2.41% observed (lag-1 autocorrelation rho 0.483, n=35, printed monthly NAV path 2023-01-31 to 2025-12-31 (contiguous monthly)).</w:t>
            </w:r>
          </w:p>
          <w:p>
            <w:r>
              <w:t>1.8 Risk-adjusted metrics (PME etc) (computed): Meaningful benchmark (paragraph (k)), NCREIF Fund Index, ODCE (private core RE) scored 7 of 10.</w:t>
            </w:r>
          </w:p>
          <w:p>
            <w:r>
              <w:t>1.9 Stress-window performance (computed): Stress observation from the printed fiscal-year returns on record.</w:t>
            </w:r>
          </w:p>
          <w:p>
            <w:r>
              <w:t>1.11 Track record &amp; manager tenure (partial): PARTIAL: no named individual portfolio managers or 'has managed since' dates exist in the 10-K (externally managed REIT, Part III/Item 10 director-officer bios incorporated by reference to proxy statement to be filed by April 30, 2026).</w:t>
            </w:r>
          </w:p>
          <w:p>
            <w:r>
              <w:t>1.12 Peer comparison (paragraphs (g) and (h)) (computed): Peer comparison (paragraphs (g) and (h)): non-traded real estate cohort, peers Starwood Real Estate Income Trust, Inc., JLL Income Property Trust, Inc., fund return basis filed calendar-year returns (December fiscal year).</w:t>
            </w:r>
          </w:p>
          <w:p>
            <w:r>
              <w:t>Not applicable: 1.3 no gross/net expense-ratio or financial-highlights disclosure exists for a '34-Act non-traded REIT, and no fee-waiver/expense-support arrangement is disclosed, so no gross-vs-net spread exists to extract. 1.10 not exchange-listed.</w:t>
            </w:r>
          </w:p>
        </w:tc>
      </w:tr>
      <w:tr>
        <w:trPr>
          <w:cantSplit/>
        </w:trPr>
        <w:tc>
          <w:tcPr>
            <w:tcW w:type="dxa" w:w="1728"/>
          </w:tcPr>
          <w:p>
            <w:r>
              <w:t>2. Fees (h)</w:t>
            </w:r>
          </w:p>
        </w:tc>
        <w:tc>
          <w:tcPr>
            <w:tcW w:type="dxa" w:w="7632"/>
          </w:tcPr>
          <w:p>
            <w:r>
              <w:t>On fees and expenses (h), the management fee is 1.25% on NAV (cell 2.1), the incentive fee is 12.5% / 5% hurdle (cell 2.4) and the early repurchase fee is 2% &lt; 1 year (cell 2.7).</w:t>
            </w:r>
          </w:p>
          <w:p>
            <w:r>
              <w:t>Facts on record: 2.1 1.25% on NAV. 2.4 no AFFE line. 2.7 early repurchase fee: 2% &lt; 1 year.</w:t>
            </w:r>
          </w:p>
          <w:p>
            <w:r>
              <w:t>2.1 Management fee (rate AND base) (extracted-unverified): 1.25% of NAV per annum, payable monthly (can be paid in cash or shares).</w:t>
            </w:r>
          </w:p>
          <w:p>
            <w:r>
              <w:t>2.2 Incentive fee terms (partial): Performance participation w/ hurdle + high-water mechanics, AND a live miss: FY2024 total return did not exceed the hurdle, producing a $105.0M Quarterly Shortfall, from 1/1/2025 the 2024 Shortfall Obligation accrues 5% annual interest compounded quarterly.</w:t>
            </w:r>
          </w:p>
          <w:p>
            <w:r>
              <w:t>2.4 AFFE (extracted-unverified): Not applicable, none exists: BREIT is a 10-K filer (non-'40-Act REIT) with no 1940-Act-style fee table, no 'Acquired Fund Fees and Expenses' line exists and none can (AFFE is a 1940-Act registered-fund disclosure).</w:t>
            </w:r>
          </w:p>
          <w:p>
            <w:r>
              <w:t>2.6 Loads &amp; servicing fees (extracted-unverified): As of December 31, 2025 (Item 5 table): selling commissions and dealer manager fees (% of transaction price) up to 3.5% for Class S, S-2, T, T-2, up to 1.5% for Class D, D-2.</w:t>
            </w:r>
          </w:p>
          <w:p>
            <w:r>
              <w:t>2.7 Early repurchase fee (extracted-unverified): Early Repurchase Deduction: shares held less than one year are repurchased at 98% of the transaction price, i.e. a 2% deduction, subject to limited exceptions.</w:t>
            </w:r>
          </w:p>
          <w:p>
            <w:r>
              <w:t>2.9 Fee peer percentile (computed): Cohort placement (non-traded real estate cohort): mgmt fee: at the cohort median of 1.25 (n=3, too small for percentile language) | expense ratio (bases differ, see notes): fact unavailable for this member | repurchase cap: at the cohort median of 2 (n=3, too small for percentile language).</w:t>
            </w:r>
          </w:p>
          <w:p>
            <w:r>
              <w:t>Not applicable: 2.3 no TER disclosure exists for a '34-Act REIT (10-K prints no expense ratio, zero hits in FY2025 10-K and Q2 2026 10-Q), fee burden components extracted in 2.1/2.2/2.6. 2.5 BREIT owns real estate directly, not through third-party GP funds, where JV partners or real-estate-issuer managers earn promote/fees beneath BREIT, those economics are private joint-venture and portfolio-entity contract terms, the 10-K acknowledges them only qualitatively, with no rates or ranges printed.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monthly repurchases, 2% cap per month and 5% cap per quarter on aggregate NAV, the repurchase program is active as of 2025-12-31 (cell 3.1), requests have been prorated under stress before (cell 3.3), the plan's filed outflow proxy is 6.5% of the position per year (the plan record) and the structural verdict is conditional-weak with the scenario verdict conditional under this plan (ILLUSTRATIVE, cell 3.9).</w:t>
            </w:r>
          </w:p>
          <w:p>
            <w:r>
              <w:t>Facts on record: 3.1 monthly dealing, 2% cap per month and 5% cap per quarter on aggregate NAV. 3.3 gating history: yes, prorated under stress. 3.9 structural verdict conditional-weak, plan-independent.</w:t>
            </w:r>
          </w:p>
          <w:p>
            <w:r>
              <w:t>3.1 Wrapper liquidity terms (extracted-unverified): Repurchase caps: 2% of aggregate NAV per MONTH, 5% per QUARTER (measured on prior-period NAV, Early Repurchase Deduction excluded).</w:t>
            </w:r>
          </w:p>
          <w:p>
            <w:r>
              <w:t>3.2 Repurchase mechanics (partial): Mechanics as printed in FY2025 10-K (Item 5 - Share Repurchases, repeated in Note 14): CADENCE/PRICING DATE, repurchases only as of the opening of the last calendar day of each month (the 'Repurchase Date'), price = transaction price in effect on the Repurchase Date, generally the prior month's NAV per share, with a sole-discretion exception to reprice where NAV materially changed.</w:t>
            </w:r>
          </w:p>
          <w:p>
            <w:r>
              <w:t>3.3 Repurchase history (extracted-unverified): Quantified from FY2025 10-K: common stock repurchased FY2023 $12.42B -&gt; FY2024 $9.31B -&gt; FY2025 $6.13B (cash-flow statement $000s: 12,419,310 / 9,307,418 / 6,132,773), a declining exit wave.</w:t>
            </w:r>
          </w:p>
          <w:p>
            <w:r>
              <w:t>3.4 Portfolio liquidity profile (extracted-unverified): Liquidity of $6.7 billion as of February 26, 2026: $5.6 billion available under undrawn revolving credit facilities plus $1.1 billion unrestricted cash and cash equivalents, also $0.2 billion expected disposition proceeds under contract.</w:t>
            </w:r>
          </w:p>
          <w:p>
            <w:r>
              <w:t>3.6 Fund leverage &amp; facilities (extracted-unverified): Charter leverage limit: borrowing capped at 300% of cost of net assets (approx 75% of cost of investments) absent independent-director override with disclosure.</w:t>
            </w:r>
          </w:p>
          <w:p>
            <w:r>
              <w:t>3.7 Plan participant liquidity demand (computed, this plan): Plan-side demand profile for this plan (Form 5500, plan year 2024-01-01 to 2024-12-31): 20,253 separated participants with balances = 58.2% of 34,826 accounts (the near-term liquidity tail), 14,729 active, 154 retirees in pay status, filed outflow proxy 6.5% of beginning net assets (Schedule H totals).</w:t>
            </w:r>
          </w:p>
          <w:p>
            <w:r>
              <w:t>3.8 Redemption stress test (computed, this plan): ILLUSTRATIVE redemption stress test for this plan: filed outflow proxy 6.5% of the position, slider assumption 13.7%, stressed demand 19.2% vs 20% annual wrapper capacity, within wrapper capacity (19.2% vs 20%) IF offers are not prorated, but this issuer HAS prorated under stress (3.3). Source: this plan's liquidity match.</w:t>
            </w:r>
          </w:p>
          <w:p>
            <w:r>
              <w:t>3.9 Product-to-plan liquidity match (computed, this plan): Structural liquidity verdict CONDITIONAL-WEAK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Deloitte &amp; Touche LLP (Big 4) (cell 4.5).</w:t>
            </w:r>
          </w:p>
          <w:p>
            <w:r>
              <w:t>Facts on record: 4.5 Deloitte &amp; Touche LLP (Big 4).</w:t>
            </w:r>
          </w:p>
          <w:p>
            <w:r>
              <w:t>4.1 Valuation policy &amp; NAV frequency (extracted-unverified): NAV frequency: monthly, 'We calculate and publish NAV monthly' solely for establishing monthly sale/repurchase price.</w:t>
            </w:r>
          </w:p>
          <w:p>
            <w:r>
              <w:t>4.2 Fair-value hierarchy (L1/2/3) (extracted-unverified): Recurring fair-value table ($K).</w:t>
            </w:r>
          </w:p>
          <w:p>
            <w:r>
              <w:t>4.3 Independent valuation agent (partial): PARTIAL: the 10-K repeatedly references 'an independent valuation advisor' that reviews monthly property valuations and monthly/quarterly real estate debt valuations for reasonableness (and reviews Adviser valuation assumptions such as discount/exit cap rates), and 'independent third-party appraisal firm(s)' performing annual per-property appraisals, but NO firm is NAMED anywhere in the on-disk 10-K (FY2025) or 10-Q (Q2 2026).</w:t>
            </w:r>
          </w:p>
          <w:p>
            <w:r>
              <w:t>4.4 Methodology by asset type (extracted-unverified): COMPLETE weighted-average DCF assumptions by property type (12/31/2025): Rental Housing 7.2% discount / 5.4% exit cap, Industrial 7.5% / 5.5%, Net Lease 6.6% / 5.6%, Hospitality 10.8% / 9.0%, Data Centers 8.3% / 6.1%, Self Storage 8.5% / 6.5%, Office 7.8% / 5.6%, Retail 7.9% / 6.3%.</w:t>
            </w:r>
          </w:p>
          <w:p>
            <w:r>
              <w:t>4.5 Auditor &amp; opinion (extracted-unverified): Deloitte &amp; Touche LLP, New York, auditor since 2016 (Big-4).</w:t>
            </w:r>
          </w:p>
          <w:p>
            <w:r>
              <w:t>4.6 NAV restatement history (extracted-unverified): None identified: searched stripped 10-K (FY2025, filed 2026-02-27) and stripped 10-Q (Q2 2026, filed 2026-08-07) for 'restat', 'error correction', and 'reprocess'.</w:t>
            </w:r>
          </w:p>
          <w:p>
            <w:r>
              <w:t>4.8 Smoothing diagnostics (computed): Smoothing diagnostics on the printed monthly NAV path: lag-1 autocorrelation rho 0.483 (n=35), observed 2.41% vs de-smoothed 4.12%, heavy smoothing consistent with monthly appraisal marks.</w:t>
            </w:r>
          </w:p>
          <w:p>
            <w:r>
              <w:t>Not applicable: 4.7 not exchange-listed. 4.9 CIT only.</w:t>
            </w:r>
          </w:p>
        </w:tc>
      </w:tr>
      <w:tr>
        <w:trPr>
          <w:cantSplit/>
        </w:trPr>
        <w:tc>
          <w:tcPr>
            <w:tcW w:type="dxa" w:w="1728"/>
          </w:tcPr>
          <w:p>
            <w:r>
              <w:t>5. Performance Benchmarks (k)</w:t>
            </w:r>
          </w:p>
        </w:tc>
        <w:tc>
          <w:tcPr>
            <w:tcW w:type="dxa" w:w="7632"/>
          </w:tcPr>
          <w:p>
            <w:r>
              <w:t>On performance benchmarks (k), the meaningful benchmark is NCREIF Fund Index, ODCE (private core RE), scored 7 of 10 (cell 5.3) and meaningful benchmark by descriptor. No comparison until its series is held.</w:t>
            </w:r>
          </w:p>
          <w:p>
            <w:r>
              <w:t>Facts on record: 5.3 NFI-ODCE selected by descriptor, 7 of 10.</w:t>
            </w:r>
          </w:p>
          <w:p>
            <w:r>
              <w:t>5.1 Self-declared benchmark (extracted-unverified): ABSENCE DOCUMENTED: BREIT declares NO benchmark index anywhere in the FY2025 10-K.</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non-traded real estate cohort (n=3: Blackstone Real Estate Income Trust Inc, Starwood Real Estate Income Trust, Inc., JLL Income Property Trust, Inc.).</w:t>
            </w:r>
          </w:p>
          <w:p>
            <w:r>
              <w:t>5.5 PME / Direct Alpha inputs (computed): PME inputs (computed, public market series Listed REIT investable proxy (VNQ), reference comparison, not the meaningful benchmark): window 2022-12-31 to 2025-12-31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non-traded REIT (cell 6.1) and cells 6.6 and 6.8 are advisor-completed under paragraph (l).</w:t>
            </w:r>
          </w:p>
          <w:p>
            <w:r>
              <w:t>Facts on record: 6.1 non-traded REIT.</w:t>
            </w:r>
          </w:p>
          <w:p>
            <w:r>
              <w:t>6.1 Structure map (extracted-unverified): Blackstone Real Estate Income Trust, Inc.: Maryland corporation incorporated November 16, 2015, non-listed, perpetual-life REIT (REIT election commencing taxable year ended December 31, 2017).</w:t>
            </w:r>
          </w:p>
          <w:p>
            <w:r>
              <w:t>6.2 Strategy &amp; instrument complexity (extracted-unverified): Strategy: invests primarily in stabilized, income-generating commercial real estate across asset classes in the U.S. (and to a lesser extent outside the U.S.), plus real estate debt to a lesser extent.</w:t>
            </w:r>
          </w:p>
          <w:p>
            <w:r>
              <w:t>6.3 Conflicts &amp; affiliated transactions (extracted-unverified): Note 10 'Related Party and Other Transactions' (FY2025): Due to affiliates $791,741K at Dec 31, 2025 (accrued stockholder servicing fee $724,771K, accrued management fee $56,818K, other $10,152K).</w:t>
            </w:r>
          </w:p>
          <w:p>
            <w:r>
              <w:t>6.4 Tax reporting (1099 vs K-1) (partial): PARTIAL: investor tax form NOT named in on-disk filings, searched 10-K 2026-02-27 and 10-Q 2026-08-07 for '1099'/'K-1'/'Schedule K': only XBRL context-id fragments, no Form 1099 text.</w:t>
            </w:r>
          </w:p>
          <w:p>
            <w:r>
              <w:t>6.5 Service-provider web (partial): PARTIAL: names as printed in 10-K, Auditor: Deloitte &amp; Touche LLP, New York, New York (auditor since 2016, PCAOB ID No. 34).</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1.25% on NAV</w:t>
            </w:r>
          </w:p>
        </w:tc>
        <w:tc>
          <w:tcPr>
            <w:tcW w:type="dxa" w:w="2880"/>
          </w:tcPr>
          <w:p>
            <w:r>
              <w:t>extracted-unverified</w:t>
            </w:r>
          </w:p>
        </w:tc>
      </w:tr>
      <w:tr>
        <w:trPr>
          <w:cantSplit/>
        </w:trPr>
        <w:tc>
          <w:tcPr>
            <w:tcW w:type="dxa" w:w="2880"/>
          </w:tcPr>
          <w:p>
            <w:r>
              <w:t>2.2 Incentive fee terms</w:t>
            </w:r>
          </w:p>
        </w:tc>
        <w:tc>
          <w:tcPr>
            <w:tcW w:type="dxa" w:w="3600"/>
          </w:tcPr>
          <w:p>
            <w:r>
              <w:t>no fact on record for this cell</w:t>
            </w:r>
          </w:p>
        </w:tc>
        <w:tc>
          <w:tcPr>
            <w:tcW w:type="dxa" w:w="2880"/>
          </w:tcPr>
          <w:p>
            <w:r>
              <w:t>partial</w:t>
            </w:r>
          </w:p>
        </w:tc>
      </w:tr>
      <w:tr>
        <w:trPr>
          <w:cantSplit/>
        </w:trPr>
        <w:tc>
          <w:tcPr>
            <w:tcW w:type="dxa" w:w="2880"/>
          </w:tcPr>
          <w:p>
            <w:r>
              <w:t>2.3 Total expense ratio &amp; waivers</w:t>
            </w:r>
          </w:p>
        </w:tc>
        <w:tc>
          <w:tcPr>
            <w:tcW w:type="dxa" w:w="3600"/>
          </w:tcPr>
          <w:p>
            <w:r>
              <w:t>not applicable, the record states why</w:t>
            </w:r>
          </w:p>
        </w:tc>
        <w:tc>
          <w:tcPr>
            <w:tcW w:type="dxa" w:w="2880"/>
          </w:tcPr>
          <w:p>
            <w:r>
              <w:t>n/a, not publicly available: no TER disclosure exists for a '34-Act REIT (10-K prints no expense ratio, zero hits in FY2025 10-K and Q2 2026 10-Q), fee burden components extracted in 2.1/2.2/2.6</w:t>
            </w:r>
          </w:p>
        </w:tc>
      </w:tr>
      <w:tr>
        <w:trPr>
          <w:cantSplit/>
        </w:trPr>
        <w:tc>
          <w:tcPr>
            <w:tcW w:type="dxa" w:w="2880"/>
          </w:tcPr>
          <w:p>
            <w:r>
              <w:t>2.4 AFFE</w:t>
            </w:r>
          </w:p>
        </w:tc>
        <w:tc>
          <w:tcPr>
            <w:tcW w:type="dxa" w:w="3600"/>
          </w:tcPr>
          <w:p>
            <w:r>
              <w:t>no AFFE line</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2% &lt; 1 year</w:t>
            </w:r>
          </w:p>
        </w:tc>
        <w:tc>
          <w:tcPr>
            <w:tcW w:type="dxa" w:w="2880"/>
          </w:tcPr>
          <w:p>
            <w:r>
              <w:t>extracted-unverified</w:t>
            </w:r>
          </w:p>
        </w:tc>
      </w:tr>
      <w:tr>
        <w:trPr>
          <w:cantSplit/>
        </w:trPr>
        <w:tc>
          <w:tcPr>
            <w:tcW w:type="dxa" w:w="2880"/>
          </w:tcPr>
          <w:p>
            <w:r>
              <w:t>6.4 Tax reporting (1099 vs K-1)</w:t>
            </w:r>
          </w:p>
        </w:tc>
        <w:tc>
          <w:tcPr>
            <w:tcW w:type="dxa" w:w="3600"/>
          </w:tcPr>
          <w:p>
            <w:r>
              <w:t>no fact on record for this cell</w:t>
            </w:r>
          </w:p>
        </w:tc>
        <w:tc>
          <w:tcPr>
            <w:tcW w:type="dxa" w:w="2880"/>
          </w:tcPr>
          <w:p>
            <w:r>
              <w:t>partial</w:t>
            </w:r>
          </w:p>
        </w:tc>
      </w:tr>
    </w:tbl>
    <w:p>
      <w:pPr>
        <w:pStyle w:val="Heading1"/>
        <w:keepNext/>
      </w:pPr>
      <w:r>
        <w:t>Benchmark selection and justification</w:t>
      </w:r>
    </w:p>
    <w:p>
      <w:r>
        <w:t>Return basis for every comparison in this section: filed calendar-year returns (December fiscal year).</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7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NCREIF Fund Index, ODCE (private core RE)</w:t>
            </w:r>
          </w:p>
        </w:tc>
        <w:tc>
          <w:tcPr>
            <w:tcW w:type="dxa" w:w="1584"/>
          </w:tcPr>
          <w:p>
            <w:r>
              <w:t>published strategy index</w:t>
            </w:r>
          </w:p>
        </w:tc>
        <w:tc>
          <w:tcPr>
            <w:tcW w:type="dxa" w:w="864"/>
          </w:tcPr>
          <w:p>
            <w:r>
              <w:t>7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Listed REIT investable proxy (VNQ)</w:t>
            </w:r>
          </w:p>
        </w:tc>
        <w:tc>
          <w:tcPr>
            <w:tcW w:type="dxa" w:w="1584"/>
          </w:tcPr>
          <w:p>
            <w:r>
              <w:t>exchange-traded strategy proxy</w:t>
            </w:r>
          </w:p>
        </w:tc>
        <w:tc>
          <w:tcPr>
            <w:tcW w:type="dxa" w:w="864"/>
          </w:tcPr>
          <w:p>
            <w:r>
              <w:t>7 of 10</w:t>
            </w:r>
          </w:p>
        </w:tc>
        <w:tc>
          <w:tcPr>
            <w:tcW w:type="dxa" w:w="2592"/>
          </w:tcPr>
          <w:p>
            <w:r>
              <w:t>KS-PME 0.9064, Direct Alpha -3.22%/yr, 2022-12-31 to 2025-12-31</w:t>
            </w:r>
          </w:p>
        </w:tc>
      </w:tr>
      <w:tr>
        <w:trPr>
          <w:cantSplit/>
        </w:trPr>
        <w:tc>
          <w:tcPr>
            <w:tcW w:type="dxa" w:w="1584"/>
          </w:tcPr>
          <w:p>
            <w:r>
              <w:t>Peer comparison (paragraphs (g) and (h))</w:t>
            </w:r>
          </w:p>
        </w:tc>
        <w:tc>
          <w:tcPr>
            <w:tcW w:type="dxa" w:w="2736"/>
          </w:tcPr>
          <w:p>
            <w:r>
              <w:t>non-traded real estate cohort</w:t>
            </w:r>
          </w:p>
        </w:tc>
        <w:tc>
          <w:tcPr>
            <w:tcW w:type="dxa" w:w="1584"/>
          </w:tcPr>
          <w:p>
            <w:r>
              <w:t>peer cohort</w:t>
            </w:r>
          </w:p>
        </w:tc>
        <w:tc>
          <w:tcPr>
            <w:tcW w:type="dxa" w:w="864"/>
          </w:tcPr>
          <w:p>
            <w:r>
              <w:t>not scored</w:t>
            </w:r>
          </w:p>
        </w:tc>
        <w:tc>
          <w:tcPr>
            <w:tcW w:type="dxa" w:w="2592"/>
          </w:tcPr>
          <w:p>
            <w:r>
              <w:t>composite refused: fewer than 3 peers remain after leaving Blackstone Real Estate Income Trust Inc out (2: Starwood Real Estate Income Trust, Inc., JLL Income Property Trust, Inc.)</w:t>
            </w:r>
          </w:p>
        </w:tc>
      </w:tr>
      <w:tr>
        <w:trPr>
          <w:cantSplit/>
        </w:trPr>
        <w:tc>
          <w:tcPr>
            <w:tcW w:type="dxa" w:w="1584"/>
          </w:tcPr>
          <w:p>
            <w:r>
              <w:t>rejected</w:t>
            </w:r>
          </w:p>
        </w:tc>
        <w:tc>
          <w:tcPr>
            <w:tcW w:type="dxa" w:w="2736"/>
          </w:tcPr>
          <w:p>
            <w:r>
              <w:t>Listed REIT investable proxy (VNQ)</w:t>
            </w:r>
          </w:p>
        </w:tc>
        <w:tc>
          <w:tcPr>
            <w:tcW w:type="dxa" w:w="1584"/>
          </w:tcPr>
          <w:p>
            <w:r>
              <w:t>exchange-traded strategy proxy</w:t>
            </w:r>
          </w:p>
        </w:tc>
        <w:tc>
          <w:tcPr>
            <w:tcW w:type="dxa" w:w="864"/>
          </w:tcPr>
          <w:p>
            <w:r>
              <w:t>7 of 10</w:t>
            </w:r>
          </w:p>
        </w:tc>
        <w:tc>
          <w:tcPr>
            <w:tcW w:type="dxa" w:w="2592"/>
          </w:tcPr>
          <w:p>
            <w:r>
              <w:t>Tied on score. Ordered by strategy match, then risk and liquidity match, then data held, then name. Score 7 of 10, NFI-ODCE selected.</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NCREIF Fund Index, ODCE (private core RE) (score 7 of 10)</w:t>
      </w:r>
    </w:p>
    <w:p>
      <w:r>
        <w:t>Meaningful benchmark by descriptor. No comparison until its series is held. The candidate is selected on its own descriptors. No number is substituted.</w:t>
      </w:r>
    </w:p>
    <w:p>
      <w:r>
        <w:t>Tied on score. Ordered by strategy match, then risk and liquidity match, then data held, then name. Tied with Listed REIT investable proxy (VNQ).</w:t>
      </w:r>
    </w:p>
    <w:p>
      <w:r>
        <w:t>Selection recorded 2026-09-04, record 06d1d218. Rubric v3.1. The full record hash is 06d1d21883c0dd051726cddbf51bfb079257b2d199478f46f9a9773b1eab4109.</w:t>
      </w:r>
    </w:p>
    <w:p>
      <w:pPr>
        <w:pStyle w:val="ListBullet"/>
      </w:pPr>
      <w:r>
        <w:t>Strategy match 3 of 3: a private-market index of real estate for a core-plus non-traded real estate fund</w:t>
      </w:r>
    </w:p>
    <w:p>
      <w:pPr>
        <w:pStyle w:val="ListBullet"/>
      </w:pPr>
      <w:r>
        <w:t>Risk and liquidity match 2 of 3: appraisal-based index of periodically dealt funds against a NAV fund that has prorated requests (monthly dealing at NAV under 2% cap per month and 5% cap per quarter, requests prorated in the filings on record): the index carries no gate, so the liquidity process is one step apart</w:t>
      </w:r>
    </w:p>
    <w:p>
      <w:pPr>
        <w:pStyle w:val="ListBullet"/>
      </w:pPr>
      <w:r>
        <w:t>Provider independence 2 of 2: provider unaffiliated with the fund (NCREIF): the registry affiliation map ties it to none of the fund's advisers</w:t>
      </w:r>
    </w:p>
    <w:p>
      <w:pPr>
        <w:pStyle w:val="ListBullet"/>
      </w:pPr>
      <w:r>
        <w:t>Data held 0 of 2: cited, series not in the record: no comparison can be computed yet</w:t>
      </w:r>
    </w:p>
    <w:p>
      <w:pPr>
        <w:pStyle w:val="Heading2"/>
        <w:keepNext/>
      </w:pPr>
      <w:r>
        <w:t>Reference comparison, not the meaningful benchmark: Listed REIT investable proxy (VNQ)</w:t>
      </w:r>
    </w:p>
    <w:p>
      <w:r>
        <w:t>Reference comparison on the highest-ranked held public market series: not the meaningful benchmark.</w:t>
      </w:r>
    </w:p>
    <w:p>
      <w:r>
        <w:t>Window 2022-12-31 to 2025-12-31: fund 3.14%/yr (filed calendar-year returns (December fiscal year)) vs the public series 6.57%/yr, KS-PME 0.9064, Direct Alpha -3.22%/yr.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The fund declares no benchmark: cell 5.1: BREIT declares no benchmark index anywhere in the FY2025 10-K.</w:t>
      </w:r>
    </w:p>
    <w:p>
      <w:pPr>
        <w:pStyle w:val="Heading2"/>
        <w:keepNext/>
      </w:pPr>
      <w:r>
        <w:t>Peer comparison (paragraphs (g) and (h)): non-traded real estate cohort</w:t>
      </w:r>
    </w:p>
    <w:p>
      <w:r>
        <w:t>Peers: Starwood Real Estate Income Trust, Inc., JLL Income Property Trust, Inc. This is the history of similar investments, not the benchmark, and it is never a public market equivalent.</w:t>
      </w:r>
    </w:p>
    <w:p>
      <w:pPr>
        <w:keepNext/>
      </w:pPr>
      <w:r>
        <w:t>Composite refused: fewer than 3 peers remain after leaving Blackstone Real Estate Income Trust Inc out (2: Starwood Real Estate Income Trust, Inc., JLL Income Property Trust, Inc.). The side-by-side table is shown without a ratio.</w:t>
      </w:r>
    </w:p>
    <w:tbl>
      <w:tblPr>
        <w:tblStyle w:val="TableGrid"/>
        <w:tblW w:type="dxa" w:w="9360"/>
        <w:tblLayout w:type="fixed"/>
        <w:tblLook w:firstColumn="1" w:firstRow="1" w:lastColumn="0" w:lastRow="0" w:noHBand="0" w:noVBand="1" w:val="04A0"/>
      </w:tblPr>
      <w:tblGrid>
        <w:gridCol w:w="1296"/>
        <w:gridCol w:w="576"/>
        <w:gridCol w:w="2496"/>
        <w:gridCol w:w="2496"/>
        <w:gridCol w:w="2496"/>
      </w:tblGrid>
      <w:tr>
        <w:trPr>
          <w:tblHeader/>
          <w:cantSplit/>
        </w:trPr>
        <w:tc>
          <w:tcPr>
            <w:tcW w:type="dxa" w:w="1296"/>
          </w:tcPr>
          <w:p>
            <w:r>
              <w:t>Period</w:t>
            </w:r>
          </w:p>
        </w:tc>
        <w:tc>
          <w:tcPr>
            <w:tcW w:type="dxa" w:w="576"/>
          </w:tcPr>
          <w:p>
            <w:r>
              <w:t>n</w:t>
            </w:r>
          </w:p>
        </w:tc>
        <w:tc>
          <w:tcPr>
            <w:tcW w:type="dxa" w:w="2496"/>
          </w:tcPr>
          <w:p>
            <w:r>
              <w:t>Blackstone Real Estate Income Trust Inc</w:t>
            </w:r>
          </w:p>
        </w:tc>
        <w:tc>
          <w:tcPr>
            <w:tcW w:type="dxa" w:w="2496"/>
          </w:tcPr>
          <w:p>
            <w:r>
              <w:t>Starwood Real Estate Income Trust, Inc.</w:t>
            </w:r>
          </w:p>
        </w:tc>
        <w:tc>
          <w:tcPr>
            <w:tcW w:type="dxa" w:w="2496"/>
          </w:tcPr>
          <w:p>
            <w:r>
              <w:t>JLL Income Property Trust, Inc.</w:t>
            </w:r>
          </w:p>
        </w:tc>
      </w:tr>
      <w:tr>
        <w:trPr>
          <w:cantSplit/>
        </w:trPr>
        <w:tc>
          <w:tcPr>
            <w:tcW w:type="dxa" w:w="1296"/>
          </w:tcPr>
          <w:p>
            <w:r>
              <w:t>2023</w:t>
            </w:r>
          </w:p>
        </w:tc>
        <w:tc>
          <w:tcPr>
            <w:tcW w:type="dxa" w:w="576"/>
          </w:tcPr>
          <w:p>
            <w:r>
              <w:t>1</w:t>
            </w:r>
          </w:p>
        </w:tc>
        <w:tc>
          <w:tcPr>
            <w:tcW w:type="dxa" w:w="2496"/>
          </w:tcPr>
          <w:p>
            <w:r>
              <w:t>-0.5%</w:t>
            </w:r>
          </w:p>
        </w:tc>
        <w:tc>
          <w:tcPr>
            <w:tcW w:type="dxa" w:w="2496"/>
          </w:tcPr>
          <w:p>
            <w:r>
              <w:t>n/a</w:t>
            </w:r>
          </w:p>
        </w:tc>
        <w:tc>
          <w:tcPr>
            <w:tcW w:type="dxa" w:w="2496"/>
          </w:tcPr>
          <w:p>
            <w:r>
              <w:t>n/a</w:t>
            </w:r>
          </w:p>
        </w:tc>
      </w:tr>
      <w:tr>
        <w:trPr>
          <w:cantSplit/>
        </w:trPr>
        <w:tc>
          <w:tcPr>
            <w:tcW w:type="dxa" w:w="1296"/>
          </w:tcPr>
          <w:p>
            <w:r>
              <w:t>2024</w:t>
            </w:r>
          </w:p>
        </w:tc>
        <w:tc>
          <w:tcPr>
            <w:tcW w:type="dxa" w:w="576"/>
          </w:tcPr>
          <w:p>
            <w:r>
              <w:t>1</w:t>
            </w:r>
          </w:p>
        </w:tc>
        <w:tc>
          <w:tcPr>
            <w:tcW w:type="dxa" w:w="2496"/>
          </w:tcPr>
          <w:p>
            <w:r>
              <w:t>2%</w:t>
            </w:r>
          </w:p>
        </w:tc>
        <w:tc>
          <w:tcPr>
            <w:tcW w:type="dxa" w:w="2496"/>
          </w:tcPr>
          <w:p>
            <w:r>
              <w:t>n/a</w:t>
            </w:r>
          </w:p>
        </w:tc>
        <w:tc>
          <w:tcPr>
            <w:tcW w:type="dxa" w:w="2496"/>
          </w:tcPr>
          <w:p>
            <w:r>
              <w:t>n/a</w:t>
            </w:r>
          </w:p>
        </w:tc>
      </w:tr>
      <w:tr>
        <w:trPr>
          <w:cantSplit/>
        </w:trPr>
        <w:tc>
          <w:tcPr>
            <w:tcW w:type="dxa" w:w="1296"/>
          </w:tcPr>
          <w:p>
            <w:r>
              <w:t>2025</w:t>
            </w:r>
          </w:p>
        </w:tc>
        <w:tc>
          <w:tcPr>
            <w:tcW w:type="dxa" w:w="576"/>
          </w:tcPr>
          <w:p>
            <w:r>
              <w:t>2</w:t>
            </w:r>
          </w:p>
        </w:tc>
        <w:tc>
          <w:tcPr>
            <w:tcW w:type="dxa" w:w="2496"/>
          </w:tcPr>
          <w:p>
            <w:r>
              <w:t>8.1%</w:t>
            </w:r>
          </w:p>
        </w:tc>
        <w:tc>
          <w:tcPr>
            <w:tcW w:type="dxa" w:w="2496"/>
          </w:tcPr>
          <w:p>
            <w:r>
              <w:t>-2.4%</w:t>
            </w:r>
          </w:p>
        </w:tc>
        <w:tc>
          <w:tcPr>
            <w:tcW w:type="dxa" w:w="2496"/>
          </w:tcPr>
          <w:p>
            <w:r>
              <w:t>n/a</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one wrapper type (non-traded REIT) and one leverage regime (charter-level borrowing limits, no 1940-Act coverage test).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REIT investable proxy (VNQ)</w:t>
            </w:r>
          </w:p>
        </w:tc>
        <w:tc>
          <w:tcPr>
            <w:tcW w:type="dxa" w:w="1008"/>
          </w:tcPr>
          <w:p>
            <w:r>
              <w:t>7 of 10</w:t>
            </w:r>
          </w:p>
        </w:tc>
        <w:tc>
          <w:tcPr>
            <w:tcW w:type="dxa" w:w="5472"/>
          </w:tcPr>
          <w:p>
            <w:r>
              <w:t>Tied on score. Ordered by strategy match, then risk and liquidity match, then data held, then name. Score 7 of 10, NFI-ODCE selected. Criteria: Strategy match 2 of 3: the public-market version of the asset class (listed REITs for core-plus non-traded real estate), Risk and liquidity match 1 of 3: daily-liquid market series against a semi-liquid NAV fund (monthly dealing at NAV under 2% cap per month and 5% cap per quarter, requests prorated in the filings on record): volatility and liquidity regimes differ, the PME construct exists for exactly this comparison, Provider independence 2 of 2: provider unaffiliated with the fund (Vanguard / MSCI US REIT):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Global management-consulting firm profit-sharing/401(k) plan (~$9.8B, NY).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CONDITIONAL-WEAK</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monthly with caps of 2% per month and 5% per quarter on aggregate NAV.</w:t>
      </w:r>
    </w:p>
    <w:p>
      <w:pPr>
        <w:pStyle w:val="ListBullet"/>
      </w:pPr>
      <w:r>
        <w:t>Gating precedent: this issuer has prorated repurchases when requests exceeded caps (3.3). Capacity on paper has failed in stress before.</w:t>
      </w:r>
    </w:p>
    <w:p>
      <w:pPr>
        <w:pStyle w:val="ListBullet"/>
        <w:keepNext/>
      </w:pPr>
      <w:r>
        <w:t>Early repurchase economics: 2% if held &lt; 1 year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non-traded REIT</w:t>
            </w:r>
          </w:p>
        </w:tc>
        <w:tc>
          <w:tcPr>
            <w:tcW w:type="dxa" w:w="1152"/>
          </w:tcPr>
          <w:p>
            <w:r>
              <w:t>6.1</w:t>
            </w:r>
          </w:p>
        </w:tc>
      </w:tr>
      <w:tr>
        <w:trPr>
          <w:cantSplit/>
        </w:trPr>
        <w:tc>
          <w:tcPr>
            <w:tcW w:type="dxa" w:w="2448"/>
          </w:tcPr>
          <w:p>
            <w:r>
              <w:t>Dealing terms</w:t>
            </w:r>
          </w:p>
        </w:tc>
        <w:tc>
          <w:tcPr>
            <w:tcW w:type="dxa" w:w="5760"/>
          </w:tcPr>
          <w:p>
            <w:r>
              <w:t>monthly repurchases, 2% cap per month and 5% cap per quarter on aggregate NAV</w:t>
            </w:r>
          </w:p>
        </w:tc>
        <w:tc>
          <w:tcPr>
            <w:tcW w:type="dxa" w:w="1152"/>
          </w:tcPr>
          <w:p>
            <w:r>
              <w:t>3.1</w:t>
            </w:r>
          </w:p>
        </w:tc>
      </w:tr>
      <w:tr>
        <w:trPr>
          <w:cantSplit/>
        </w:trPr>
        <w:tc>
          <w:tcPr>
            <w:tcW w:type="dxa" w:w="2448"/>
          </w:tcPr>
          <w:p>
            <w:r>
              <w:t>Repurchase caps</w:t>
            </w:r>
          </w:p>
        </w:tc>
        <w:tc>
          <w:tcPr>
            <w:tcW w:type="dxa" w:w="5760"/>
          </w:tcPr>
          <w:p>
            <w:r>
              <w:t>2% per month and 5% per quarter, binding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yes, prorated under stress</w:t>
            </w:r>
          </w:p>
        </w:tc>
        <w:tc>
          <w:tcPr>
            <w:tcW w:type="dxa" w:w="1152"/>
          </w:tcPr>
          <w:p>
            <w:r>
              <w:t>3.3</w:t>
            </w:r>
          </w:p>
        </w:tc>
      </w:tr>
      <w:tr>
        <w:trPr>
          <w:cantSplit/>
        </w:trPr>
        <w:tc>
          <w:tcPr>
            <w:tcW w:type="dxa" w:w="2448"/>
          </w:tcPr>
          <w:p>
            <w:r>
              <w:t>Repurchase program status</w:t>
            </w:r>
          </w:p>
        </w:tc>
        <w:tc>
          <w:tcPr>
            <w:tcW w:type="dxa" w:w="5760"/>
          </w:tcPr>
          <w:p>
            <w:r>
              <w:t>active as of 2025-12-31</w:t>
            </w:r>
          </w:p>
        </w:tc>
        <w:tc>
          <w:tcPr>
            <w:tcW w:type="dxa" w:w="1152"/>
          </w:tcPr>
          <w:p>
            <w:r>
              <w:t>3.1</w:t>
            </w:r>
          </w:p>
        </w:tc>
      </w:tr>
      <w:tr>
        <w:trPr>
          <w:cantSplit/>
        </w:trPr>
        <w:tc>
          <w:tcPr>
            <w:tcW w:type="dxa" w:w="2448"/>
          </w:tcPr>
          <w:p>
            <w:r>
              <w:t>Early repurchase fee</w:t>
            </w:r>
          </w:p>
        </w:tc>
        <w:tc>
          <w:tcPr>
            <w:tcW w:type="dxa" w:w="5760"/>
          </w:tcPr>
          <w:p>
            <w:r>
              <w:t>2% if held &lt; 1 year (2.7)</w:t>
            </w:r>
          </w:p>
        </w:tc>
        <w:tc>
          <w:tcPr>
            <w:tcW w:type="dxa" w:w="1152"/>
          </w:tcPr>
          <w:p>
            <w:r>
              <w:t>2.7</w:t>
            </w:r>
          </w:p>
        </w:tc>
      </w:tr>
      <w:tr>
        <w:trPr>
          <w:cantSplit/>
        </w:trPr>
        <w:tc>
          <w:tcPr>
            <w:tcW w:type="dxa" w:w="2448"/>
          </w:tcPr>
          <w:p>
            <w:r>
              <w:t>Fund net assets (for the dollar capacity)</w:t>
            </w:r>
          </w:p>
        </w:tc>
        <w:tc>
          <w:tcPr>
            <w:tcW w:type="dxa" w:w="5760"/>
          </w:tcPr>
          <w:p>
            <w:r>
              <w:t>not on record: aggregate NAV printed in the MD&amp;A NAV-by-class table but not yet carried into a fact on record. Verification-queue item</w:t>
            </w:r>
          </w:p>
        </w:tc>
        <w:tc>
          <w:tcPr>
            <w:tcW w:type="dxa" w:w="1152"/>
          </w:tcPr>
          <w:p>
            <w:r>
              <w:t>1.1</w:t>
            </w:r>
          </w:p>
        </w:tc>
      </w:tr>
    </w:tbl>
    <w:p>
      <w:pPr>
        <w:pStyle w:val="Heading2"/>
        <w:keepNext/>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Liquidity view, not a fact): tail turnover 20%/yr, active turnover 5%/yr, 13.7% of the position per year = $67.3M/yr, shown beside the filed rate, not blended with it.</w:t>
      </w:r>
    </w:p>
    <w:p>
      <w:r>
        <w:t>Stressed (the filed outflow proxy plus the increment the stress multiples add under stress (tail turnover x2, active turnover x1.5 over the slider assumption)): demand $94.1M/yr = 19.2% of the position. within wrapper capacity (19.2% vs 20%) IF offers are not prorated, but this issuer HAS prorated under stress (3.3).</w:t>
      </w:r>
    </w:p>
    <w:p>
      <w:r>
        <w:t>Fund capacity in dollars: not computable, the fund's net assets are not on record (aggregate NAV printed in the MD&amp;A NAV-by-class table but not yet carried into a fact on record. Verification-queue item), so the plan's dollar demand cannot be set against the fund's dollar capacity and the allocation slider is not shown.</w:t>
      </w:r>
    </w:p>
    <w:p>
      <w:r>
        <w:t>Scenario verdict (ILLUSTRATIVE, this plan): CONDITIONAL.</w:t>
      </w:r>
    </w:p>
    <w:p>
      <w:pPr>
        <w:pStyle w:val="ListBullet"/>
      </w:pPr>
      <w:r>
        <w:t>Capacity: 2% per month and 5% per quarter on aggregate NAV: the binding annual figure is 20% of the position per year (the quarterly cap).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Scenario verdict (ILLUSTRATIVE, this plan): conditional. No rung fired: the filed outflow proxy 6.5% and the stressed demand 19.2% of the position per year both stay within the annual wrapper capacity 20% (binding cap 5% per quarter on aggregate NAV (3.1), monthly repurchases (3.1), program active as of 2025-12-31 (3.1), prorated under stress before (3.3)). Per quarter: filed 1.6% and stressed 4.8%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2024-01-01 to 2024-12-31).</w:t>
      </w:r>
    </w:p>
    <w:p>
      <w:pPr>
        <w:pStyle w:val="Heading1"/>
        <w:keepNext/>
      </w:pPr>
      <w:r>
        <w:t>Peer cohort placement</w:t>
      </w:r>
    </w:p>
    <w:p>
      <w:r>
        <w:t>Evidence depth tier: FULL. Cohort: Non-traded NAV REITs (n=3). Membership rationale: Non-traded monthly-NAV REIT with 2%/5% repurchase plan, the cohort's reference member.</w:t>
      </w:r>
    </w:p>
    <w:p>
      <w:r>
        <w:t>Cohort placement (non-traded real estate cohort): mgmt fee: at the cohort median of 1.25 (n=3, too small for percentile language) | expense ratio (bases differ, see notes): fact unavailable for this member | repurchase cap: at the cohort median of 2 (n=3, too small for percentile language). Statistics and per-member values are in the cohort record, membership rationales in the facts on record.</w:t>
      </w:r>
    </w:p>
    <w:p>
      <w:r>
        <w:t>Cohort composite return: not formed, no period returns on record for JLL Income Property Trust, Inc., so no equal-weight composite return is formed. The table shows each member's own periods with n.</w:t>
      </w:r>
    </w:p>
    <w:p>
      <w:pPr>
        <w:pStyle w:val="ListBullet"/>
      </w:pPr>
      <w:r>
        <w:t>Caveat: NAV-CADENCE MIX: daily, monthly, and quarterly NAV processes embed different appraisal smoothing. Volatility and drawdown comparisons inherit that difference (see de-smoothing lab). [per product from the record: Blackstone Real Estate Income Trust Inc: monthly, JLL Income Property Trust, Inc.: daily, Starwood Real Estate Income Trust, Inc.: monthly]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20, verified 0, computed 14, partial 8, fetched 1, n/a 12, pending 0. 34 of 43 resolved: 20 evidenced, 14 computed, 9 partial, 12 n/a, 0 verified by a person.</w:t>
      </w:r>
    </w:p>
    <w:p>
      <w:r>
        <w:t>Of the 34 resolved cells (structured, extracted-unverified, verified and computed), 34 carry a source document, 34 a section, 20 a verbatim quote (computed cells carry their computation and inputs instead of a quote) and 34 an extractor. 9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10-K 2026-02-27</w:t>
            </w:r>
          </w:p>
        </w:tc>
        <w:tc>
          <w:tcPr>
            <w:tcW w:type="dxa" w:w="4896"/>
          </w:tcPr>
          <w:p>
            <w:r>
              <w:t>accession 0001662972-26-000032</w:t>
            </w:r>
          </w:p>
          <w:p>
            <w:r>
              <w:t>https://www.sec.gov/Archives/edgar/data/1662972/000166297226000032/breit-20251231.htm</w:t>
            </w:r>
          </w:p>
        </w:tc>
        <w:tc>
          <w:tcPr>
            <w:tcW w:type="dxa" w:w="2592"/>
          </w:tcPr>
          <w:p>
            <w:r>
              <w:t>1.1, 1.2, 1.4, 1.5, 1.11, 2.1, 2.2, 2.4, 2.6, 2.7, 3.1, 3.2, 3.3, 3.4, 3.6, 4.1, 4.2, 4.3, 4.4, 4.5, 4.6, 5.1, 6.1, 6.2, 6.3, 6.4, 6.5</w:t>
            </w:r>
          </w:p>
        </w:tc>
      </w:tr>
      <w:tr>
        <w:trPr>
          <w:cantSplit/>
        </w:trPr>
        <w:tc>
          <w:tcPr>
            <w:tcW w:type="dxa" w:w="1872"/>
          </w:tcPr>
          <w:p>
            <w:r>
              <w:t>10-Q 2026-08-07</w:t>
            </w:r>
          </w:p>
        </w:tc>
        <w:tc>
          <w:tcPr>
            <w:tcW w:type="dxa" w:w="4896"/>
          </w:tcPr>
          <w:p>
            <w:r>
              <w:t>accession 0001662972-26-000111</w:t>
            </w:r>
          </w:p>
          <w:p>
            <w:r>
              <w:t>https://www.sec.gov/Archives/edgar/data/1662972/000166297226000111/breit-20260630.htm</w:t>
            </w:r>
          </w:p>
        </w:tc>
        <w:tc>
          <w:tcPr>
            <w:tcW w:type="dxa" w:w="2592"/>
          </w:tcPr>
          <w:p>
            <w:r>
              <w:t>1.1, 1.2, 4.6</w:t>
            </w:r>
          </w:p>
        </w:tc>
      </w:tr>
    </w:tbl>
    <w:p>
      <w:pPr>
        <w:keepNext/>
      </w:pPr>
      <w:r>
        <w:t>Cells whose reference does not resolve to a manifest row:</w:t>
      </w:r>
    </w:p>
    <w:p>
      <w:pPr>
        <w:pStyle w:val="ListBullet"/>
      </w:pPr>
      <w:r>
        <w:t>1.6: accession not on record: no filing reference in the source field</w:t>
      </w:r>
    </w:p>
    <w:p>
      <w:pPr>
        <w:pStyle w:val="ListBullet"/>
      </w:pPr>
      <w:r>
        <w:t>1.7: accession not on record: no filing reference in the source field</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4.8: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(5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Global management-consulting firm profit-sharing/401(k) plan (~$9.8B, NY). Blackstone Real Estate Income Trust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Blackstone Real Estate Income Trust Inc for Global management-consulting firm profit-sharing/401(k) plan (~$9.8B, NY)</dc:title>
  <dc:subject>Fiduciary Duties in Selecting Designated Investment Alternatives, 91 FR 16088 (Mar. 31, 2026), RIN 1210-AC38, proposed 29 CFR 2550.404a-6, paragraphs (g) to (l)</dc:subject>
  <dc:creator>Tark</dc:creator>
  <cp:keywords>breit, plan_consulting_alumni,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