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Blackstone Real Estate Income Trust Inc (non-traded REIT ('34 Act reporting), CIK 1662972).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industrial manufacturer 401(k) plan (~$0.8B, OH) (ILLUSTRATIVE): CONDITIONAL.</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Blackstone Real Estate Income Trust Inc out (2: Starwood Real Estate Income Trust, Inc., JLL Income Property Trust, Inc.).</w:t>
      </w:r>
    </w:p>
    <w:p>
      <w:r>
        <w:t>Reference comparison, not the meaningful benchmark: Listed REIT investable proxy (VNQ), KS-PME 0.9064, Direct Alpha -3.22%/yr over 2022-12-31 to 2025-12-31.</w:t>
      </w:r>
    </w:p>
    <w:p>
      <w:r>
        <w:t>Evidence coverage: 34 of 43 resolved: 20 evidenced, 14 computed, 9 partial, 12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a KS-PME of 0.9064 against VNQ (cell 1.8).</w:t>
            </w:r>
          </w:p>
          <w:p>
            <w:r>
              <w:t>Facts on record: 1.8 KS-PME 0.91 vs VNQ (reference, not the benchmark).</w:t>
            </w:r>
          </w:p>
          <w:p>
            <w:r>
              <w:t>1.1 Net total return series (extracted-unverified): FULL printed monthly NAV/share series, Class I, Jan 2023 - Dec 2025 (36 points) + Jun 2026 from the 10-Q,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rPr>
          <w:cantSplit/>
        </w:trPr>
        <w:tc>
          <w:tcPr>
            <w:tcW w:type="dxa" w:w="1728"/>
          </w:tcPr>
          <w:p>
            <w:r>
              <w:t>2. Fees (h)</w:t>
            </w:r>
          </w:p>
        </w:tc>
        <w:tc>
          <w:tcPr>
            <w:tcW w:type="dxa" w:w="7632"/>
          </w:tcPr>
          <w:p>
            <w:r>
              <w:t>On fees and expenses (h), the management fee is 1.25% on NAV (cell 2.1), the incentive fee is 12.5% / 5% hurdle (cell 2.4) and the early repurchase fee is 2% &lt; 1 year (cell 2.7).</w:t>
            </w:r>
          </w:p>
          <w:p>
            <w:r>
              <w:t>Facts on record: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AND a live miss: FY2024 total return did not exceed the hurdle, producing a $105.0M Quarterly Shortfall, from 1/1/2025 the 2024 Shortfall Obligation accrues 5% annual interest compounded quarterly.</w:t>
            </w:r>
          </w:p>
          <w:p>
            <w:r>
              <w:t>2.4 AFFE (extracted-unverified): Not applicable,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the 10-K acknowledges them only qualitatively, with no rates or ranges printed.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monthly repurchases, 2% cap per month and 5% cap per quarter on aggregate NAV, the repurchase program is active as of 2025-12-31 (cell 3.1), requests have been prorated under stress before (cell 3.3), the plan's filed outflow proxy is 11.5% of the position per year (the plan record) and the structural verdict is conditional-weak with the scenario verdict conditional under this plan (ILLUSTRATIVE, cell 3.9).</w:t>
            </w:r>
          </w:p>
          <w:p>
            <w:r>
              <w:t>Facts on record: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searched 10-K 2026-02-27 and 10-Q 2026-08-07 for '1099'/'K-1'/'Schedule K': only XBRL context-id fragments, no Form 1099 text.</w:t>
            </w:r>
          </w:p>
          <w:p>
            <w:r>
              <w:t>6.5 Service-provider web (partial): PARTIAL: names as printed in 10-K, Auditor: Deloitte &amp; Touche LLP, New York, New York (auditor since 2016, PCAOB ID No.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REIT (10-K prints no expense ratio, zero hits in FY2025 10-K and Q2 2026 10-Q), fee burden components extracted in 2.1/2.2/2.6</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0.9064, Direct Alpha -3.22%/yr, 2022-12-31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Blackstone Real Estate Income Trust Inc out (2: Starwood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06d1d218. Rubric v3.1. The full record hash is 06d1d21883c0dd051726cddbf51bfb079257b2d199478f46f9a9773b1eab4109.</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that has prorated requests (monthly dealing at NAV under 2% cap per month and 5% cap per quarter, requests prorated in the filings on record): the index carries no gate,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BREIT declares no benchmark index anywhere in the FY2025 10-K.</w:t>
      </w:r>
    </w:p>
    <w:p>
      <w:pPr>
        <w:pStyle w:val="Heading2"/>
        <w:keepNext/>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pPr>
        <w:keepNext/>
      </w:pPr>
      <w:r>
        <w:t>Composite refused: fewer than 3 peers remain after leaving Blackstone Real Estate Income Trust Inc out (2: Starwood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Blackstone Real Estate Income Trust Inc</w:t>
            </w:r>
          </w:p>
        </w:tc>
        <w:tc>
          <w:tcPr>
            <w:tcW w:type="dxa" w:w="2496"/>
          </w:tcPr>
          <w:p>
            <w:r>
              <w:t>Starwood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-0.5%</w:t>
            </w:r>
          </w:p>
        </w:tc>
        <w:tc>
          <w:tcPr>
            <w:tcW w:type="dxa" w:w="2496"/>
          </w:tcPr>
          <w:p>
            <w:r>
              <w:t>n/a</w:t>
            </w:r>
          </w:p>
        </w:tc>
        <w:tc>
          <w:tcPr>
            <w:tcW w:type="dxa" w:w="2496"/>
          </w:tcPr>
          <w:p>
            <w:r>
              <w:t>n/a</w:t>
            </w:r>
          </w:p>
        </w:tc>
      </w:tr>
      <w:tr>
        <w:trPr>
          <w:cantSplit/>
        </w:trPr>
        <w:tc>
          <w:tcPr>
            <w:tcW w:type="dxa" w:w="1296"/>
          </w:tcPr>
          <w:p>
            <w:r>
              <w:t>2024</w:t>
            </w:r>
          </w:p>
        </w:tc>
        <w:tc>
          <w:tcPr>
            <w:tcW w:type="dxa" w:w="576"/>
          </w:tcPr>
          <w:p>
            <w:r>
              <w:t>1</w:t>
            </w:r>
          </w:p>
        </w:tc>
        <w:tc>
          <w:tcPr>
            <w:tcW w:type="dxa" w:w="2496"/>
          </w:tcPr>
          <w:p>
            <w:r>
              <w:t>2%</w:t>
            </w:r>
          </w:p>
        </w:tc>
        <w:tc>
          <w:tcPr>
            <w:tcW w:type="dxa" w:w="2496"/>
          </w:tcPr>
          <w:p>
            <w:r>
              <w:t>n/a</w:t>
            </w:r>
          </w:p>
        </w:tc>
        <w:tc>
          <w:tcPr>
            <w:tcW w:type="dxa" w:w="2496"/>
          </w:tcPr>
          <w:p>
            <w:r>
              <w:t>n/a</w:t>
            </w:r>
          </w:p>
        </w:tc>
      </w:tr>
      <w:tr>
        <w:trPr>
          <w:cantSplit/>
        </w:trPr>
        <w:tc>
          <w:tcPr>
            <w:tcW w:type="dxa" w:w="1296"/>
          </w:tcPr>
          <w:p>
            <w:r>
              <w:t>2025</w:t>
            </w:r>
          </w:p>
        </w:tc>
        <w:tc>
          <w:tcPr>
            <w:tcW w:type="dxa" w:w="576"/>
          </w:tcPr>
          <w:p>
            <w:r>
              <w:t>2</w:t>
            </w:r>
          </w:p>
        </w:tc>
        <w:tc>
          <w:tcPr>
            <w:tcW w:type="dxa" w:w="2496"/>
          </w:tcPr>
          <w:p>
            <w:r>
              <w:t>8.1%</w:t>
            </w:r>
          </w:p>
        </w:tc>
        <w:tc>
          <w:tcPr>
            <w:tcW w:type="dxa" w:w="2496"/>
          </w:tcPr>
          <w:p>
            <w:r>
              <w:t>-2.4%</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(monthly dealing at NAV under 2% cap per month and 5% cap per quarter, requests prorated in the filings on record):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monthly repurchases, 2% cap per month and 5% cap per quarter on aggregate NAV</w:t>
            </w:r>
          </w:p>
        </w:tc>
        <w:tc>
          <w:tcPr>
            <w:tcW w:type="dxa" w:w="1152"/>
          </w:tcPr>
          <w:p>
            <w:r>
              <w:t>3.1</w:t>
            </w:r>
          </w:p>
        </w:tc>
      </w:tr>
      <w:tr>
        <w:trPr>
          <w:cantSplit/>
        </w:trPr>
        <w:tc>
          <w:tcPr>
            <w:tcW w:type="dxa" w:w="2448"/>
          </w:tcPr>
          <w:p>
            <w:r>
              <w:t>Repurchase caps</w:t>
            </w:r>
          </w:p>
        </w:tc>
        <w:tc>
          <w:tcPr>
            <w:tcW w:type="dxa" w:w="5760"/>
          </w:tcPr>
          <w:p>
            <w:r>
              <w:t>2% per month and 5% per quarter, binding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NAV printed in the MD&amp;A NAV-by-class table but not yet carried into a fact on record. Verification-queue item</w:t>
            </w:r>
          </w:p>
        </w:tc>
        <w:tc>
          <w:tcPr>
            <w:tcW w:type="dxa" w:w="1152"/>
          </w:tcPr>
          <w:p>
            <w:r>
              <w:t>1.1</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on record (aggregate NAV printed in the MD&amp;A NAV-by-class table but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aggregate NAV (3.1), monthly repurchases (3.1), program active as of 2025-12-31 (3.1), prorated under stress before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Non-traded NAV REITs (n=3). Membership rationale: Non-traded monthly-NAV REIT with 2%/5% repurchase plan,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20, verified 0, computed 14, partial 8, fetched 1, n/a 12, pending 0. 34 of 43 resolved: 20 evidenced, 14 computed, 9 partial, 12 n/a, 0 verified by a person.</w:t>
      </w:r>
    </w:p>
    <w:p>
      <w:r>
        <w:t>Of the 34 resolved cells (structured, extracted-unverified, verified and computed), 34 carry a source document, 34 a section, 20 a verbatim quote (computed cells carry their computation and inputs instead of a quote) and 34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2026-02-27</w:t>
            </w:r>
          </w:p>
        </w:tc>
        <w:tc>
          <w:tcPr>
            <w:tcW w:type="dxa" w:w="4896"/>
          </w:tcPr>
          <w:p>
            <w:r>
              <w:t>accession 0001662972-26-000032</w:t>
            </w:r>
          </w:p>
          <w:p>
            <w:r>
              <w:t>https://www.sec.gov/Archives/edgar/data/1662972/000166297226000032/breit-20251231.htm</w:t>
            </w:r>
          </w:p>
        </w:tc>
        <w:tc>
          <w:tcPr>
            <w:tcW w:type="dxa" w:w="2592"/>
          </w:tcPr>
          <w:p>
            <w:r>
              <w:t>1.1, 1.2, 1.4, 1.5, 1.11, 2.1, 2.2, 2.4, 2.6, 2.7, 3.1, 3.2, 3.3, 3.4, 3.6, 4.1, 4.2, 4.3, 4.4, 4.5, 4.6, 5.1, 6.1, 6.2, 6.3, 6.4, 6.5</w:t>
            </w:r>
          </w:p>
        </w:tc>
      </w:tr>
      <w:tr>
        <w:trPr>
          <w:cantSplit/>
        </w:trPr>
        <w:tc>
          <w:tcPr>
            <w:tcW w:type="dxa" w:w="1872"/>
          </w:tcPr>
          <w:p>
            <w:r>
              <w:t>10-Q 2026-08-07</w:t>
            </w:r>
          </w:p>
        </w:tc>
        <w:tc>
          <w:tcPr>
            <w:tcW w:type="dxa" w:w="4896"/>
          </w:tcPr>
          <w:p>
            <w:r>
              <w:t>accession 0001662972-26-000111</w:t>
            </w:r>
          </w:p>
          <w:p>
            <w:r>
              <w:t>https://www.sec.gov/Archives/edgar/data/1662972/000166297226000111/breit-20260630.htm</w:t>
            </w:r>
          </w:p>
        </w:tc>
        <w:tc>
          <w:tcPr>
            <w:tcW w:type="dxa" w:w="2592"/>
          </w:tcPr>
          <w:p>
            <w:r>
              <w:t>1.1, 1.2, 4.6</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Blackstone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Real Estate Income Trust Inc for US industrial manufacturer 401(k) plan (~$0.8B, OH)</dc:title>
  <dc:subject>Fiduciary Duties in Selecting Designated Investment Alternatives, 91 FR 16088 (Mar. 31, 2026), RIN 1210-AC38, proposed 29 CFR 2550.404a-6, paragraphs (g) to (l)</dc:subject>
  <dc:creator>Tark</dc:creator>
  <cp:keywords>breit,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