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Cliffwater Corporate Lending Fund (TRUE interval fund (Rule 23c-3), private credit, CIK 1735964).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Senior loan investable proxy (BKLN, for Morningstar LSTA class) at 7 of 10, KS-PME 1.2532, Direct Alpha 3.22%/yr over 2019-06-05 to 2026-07-17. Peer comparison (paragraphs (g) and (h)): relative wealth ratio 1.0613 vs the equal-weight peer composite over 2021 to 2025 (n=4), not a benchmark and not a PME.</w:t>
      </w:r>
    </w:p>
    <w:p>
      <w:r>
        <w:t>Evidence coverage: 36 of 45 resolved: 23 evidenced, 13 computed, 9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6.8 years of history since 2019-06-05 (cell 1.2), a KS-PME of 1.2532 against BKLN (cell 1.8) and a relative wealth ratio of 1.0613 against the peer composite (cell 1.12).</w:t>
            </w:r>
          </w:p>
          <w:p>
            <w:r>
              <w:t>Facts on record: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no active waiver.</w:t>
            </w:r>
          </w:p>
          <w:p>
            <w:r>
              <w:t>1.4 Distribution history &amp; composition (extracted-unverified): Class I per-share distributions (Consolidated Financial Highlights): FY ended 3/31/2026 total $(1.09), all from net investment income (return of capital, , net realized gain,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rPr>
          <w:cantSplit/>
        </w:trPr>
        <w:tc>
          <w:tcPr>
            <w:tcW w:type="dxa" w:w="1728"/>
          </w:tcPr>
          <w:p>
            <w:r>
              <w:t>2. Fees (h)</w:t>
            </w:r>
          </w:p>
        </w:tc>
        <w:tc>
          <w:tcPr>
            <w:tcW w:type="dxa" w:w="7632"/>
          </w:tcPr>
          <w:p>
            <w:r>
              <w:t>On fees and expenses (h), the management fee is 1.00% on net assets (cell 2.1), the expense ratio is 1.36% (before waivers, excluding interest expense (3.31% including interest, FY2026)) (cell 2.3) and the early repurchase fee is none (cell 2.7).</w:t>
            </w:r>
          </w:p>
          <w:p>
            <w:r>
              <w:t>Facts on record: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10.8%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Cohen &amp; Company, Ltd. (cell 4.5).</w:t>
            </w:r>
          </w:p>
          <w:p>
            <w:r>
              <w:t>Facts on record: 4.5 Cohen &amp; Company, Ltd.</w:t>
            </w:r>
          </w:p>
          <w:p>
            <w:r>
              <w:t>4.1 Valuation policy &amp; NAV frequency (extracted-unverified): NAV frequency: daily,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independent registered public accounting firm (PCAOB-registered).</w:t>
            </w:r>
          </w:p>
          <w:p>
            <w:r>
              <w:t>4.6 NAV restatement history (extracted-unverified): None identified: searched 'restat', 'error correction', and 'reprocess' across the N-CSR (FY2026), the 486BPOS (2025-07-29), the 424B3 (2025-08-12) and the N-23C3A (2026-05-08) text on disk, and searched all 12 raw HTML/XML filings on disk for this fund (including the seven other N-23C3A filings and NPORT-P), the only 'restat' hits are 'Amended and Restated' document titles,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textbook appraisal-NAV smoothing signature.</w:t>
            </w:r>
          </w:p>
          <w:p>
            <w:r>
              <w:t>Not applicable: 4.7 no market price exists for a non-listed NAV-transaction wrapper, premium/discount undefined. 4.9 CIT only.</w:t>
            </w:r>
          </w:p>
        </w:tc>
      </w:tr>
      <w:tr>
        <w:trPr>
          <w:cantSplit/>
        </w:trPr>
        <w:tc>
          <w:tcPr>
            <w:tcW w:type="dxa" w:w="1728"/>
          </w:tcPr>
          <w:p>
            <w:r>
              <w:t>5. Performance Benchmarks (k)</w:t>
            </w:r>
          </w:p>
        </w:tc>
        <w:tc>
          <w:tcPr>
            <w:tcW w:type="dxa" w:w="7632"/>
          </w:tcPr>
          <w:p>
            <w:r>
              <w:t>On performance benchmarks (k), the meaningful benchmark is Senior loan investable proxy (BKLN, for Morningstar LSTA class), scored 7 of 10 (cell 5.3) and KS-PME 1.2532 and Direct Alpha 3.22%/yr over 2019-06-05 to 2026-07-17 (cell 1.8).</w:t>
            </w:r>
          </w:p>
          <w:p>
            <w:r>
              <w:t>Facts on record: 5.3 BKLN selected, 7 of 10.</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and cells 6.6 and 6.8 are advisor-completed under paragraph (l).</w:t>
            </w:r>
          </w:p>
          <w:p>
            <w:r>
              <w:t>Facts on record: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consistent current income, secondary, capital preservation.</w:t>
            </w:r>
          </w:p>
          <w:p>
            <w:r>
              <w:t>6.3 Conflicts &amp; affiliated transactions (extracted-unverified): Conflicts: dedicated 'CONFLICTS OF INTEREST' section,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searched 486BPOS 2025-07-29, 424B3 2025-08-12 and N-CSR 2026-06-08 for '1099' / 'K-1' / 'Schedule K': zero hits.</w:t>
            </w:r>
          </w:p>
          <w:p>
            <w:r>
              <w:t>6.5 Service-provider web (extracted-unverified): As printed on the prospectus service-provider page (dated July 29, 2025): Investment Manager, Cliffwater LLC, 4640 Admiralty Way, 11th Floor, Marina del Rey, CA, Transfer Agent/Administrator, UMB Fund Services, Inc., 235 West Galena Street, Milwaukee, WI, Custodian Bank, State Street Bank and Trust Company, 1 Iron Street, Boston, MA, Distributor, Foreside Fund Services, LLC, Three Canal Plaza, Suite 100, Portland, ME (also named on cover as principal underwriter on a best-efforts basis), Independent Registered Public Accounting Firm, Cohen &amp; Company, Ltd., 1350 Euclid Avenue, Suite 800, Cleveland, OH, Fund Counsel, Faegre Drinker Biddle &amp; Reath LLP, One Logan Square, Suite 2000, Philadelphia, PA.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1.00%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rPr>
          <w:cantSplit/>
        </w:trPr>
        <w:tc>
          <w:tcPr>
            <w:tcW w:type="dxa" w:w="2880"/>
          </w:tcPr>
          <w:p>
            <w:r>
              <w:t>2.4 AFFE</w:t>
            </w:r>
          </w:p>
        </w:tc>
        <w:tc>
          <w:tcPr>
            <w:tcW w:type="dxa" w:w="3600"/>
          </w:tcPr>
          <w:p>
            <w:r>
              <w:t>AFFE 0.25%</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approximates NAV total return (CCLFX).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1.2532, Direct Alpha 3.22%/yr, 2019-06-05 to 2026-07-17</w:t>
            </w:r>
          </w:p>
        </w:tc>
      </w:tr>
      <w:tr>
        <w:trPr>
          <w:cantSplit/>
        </w:trPr>
        <w:tc>
          <w:tcPr>
            <w:tcW w:type="dxa" w:w="1584"/>
          </w:tcPr>
          <w:p>
            <w:r>
              <w:t>SEC-required comparator</w:t>
            </w:r>
          </w:p>
        </w:tc>
        <w:tc>
          <w:tcPr>
            <w:tcW w:type="dxa" w:w="2736"/>
          </w:tcPr>
          <w:p>
            <w:r>
              <w:t>Morningstar LSTA US Leveraged Loan</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SEC-required comparator</w:t>
            </w:r>
          </w:p>
        </w:tc>
        <w:tc>
          <w:tcPr>
            <w:tcW w:type="dxa" w:w="2736"/>
          </w:tcPr>
          <w:p>
            <w:r>
              <w:t>Bloomberg US Aggregate</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1.0613, annualized excess return 1.2%/yr (not a public market equivalent), 2021 to 2025</w:t>
            </w:r>
          </w:p>
        </w:tc>
      </w:tr>
      <w:tr>
        <w:trPr>
          <w:cantSplit/>
        </w:trPr>
        <w:tc>
          <w:tcPr>
            <w:tcW w:type="dxa" w:w="1584"/>
          </w:tcPr>
          <w:p>
            <w:r>
              <w:t>rejected</w:t>
            </w:r>
          </w:p>
        </w:tc>
        <w:tc>
          <w:tcPr>
            <w:tcW w:type="dxa" w:w="2736"/>
          </w:tcPr>
          <w:p>
            <w:r>
              <w:t>Cliffwater Direct Lending Index (CDLI)</w:t>
            </w:r>
          </w:p>
        </w:tc>
        <w:tc>
          <w:tcPr>
            <w:tcW w:type="dxa" w:w="1584"/>
          </w:tcPr>
          <w:p>
            <w:r>
              <w:t>published strategy index</w:t>
            </w:r>
          </w:p>
        </w:tc>
        <w:tc>
          <w:tcPr>
            <w:tcW w:type="dxa" w:w="864"/>
          </w:tcPr>
          <w:p>
            <w:r>
              <w:t>6 of 10</w:t>
            </w:r>
          </w:p>
        </w:tc>
        <w:tc>
          <w:tcPr>
            <w:tcW w:type="dxa" w:w="2592"/>
          </w:tcPr>
          <w:p>
            <w:r>
              <w:t>rejected: affiliated provider (score 6 of 10), an index published by the fund's own adviser is ineligible for the meaningful-benchmark slot</w:t>
            </w:r>
          </w:p>
        </w:tc>
      </w:tr>
      <w:tr>
        <w:trPr>
          <w:cantSplit/>
        </w:trPr>
        <w:tc>
          <w:tcPr>
            <w:tcW w:type="dxa" w:w="1584"/>
          </w:tcPr>
          <w:p>
            <w:r>
              <w:t>rejected</w:t>
            </w:r>
          </w:p>
        </w:tc>
        <w:tc>
          <w:tcPr>
            <w:tcW w:type="dxa" w:w="2736"/>
          </w:tcPr>
          <w:p>
            <w:r>
              <w:t>Bloomberg US Aggregate Bond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Senior loan investable proxy (BKLN, for Morningstar LSTA class) (score 7 of 10)</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 Reconciliation: the filed since-inception annualized return is 9.34% (average annual total return since inception on 6/5/2019 to 3/31/2026 as printed in the N-CSR, cell 1.2) and the held series annualizes to 7.89%/yr over 2019-06-05 to 2026-07-17. The two differ by end date, by the adjusted-close reinvestment convention against the fund's own total-return calculation, and by share class. Neither is restated and the comparison uses the series.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r>
        <w:t>Selection recorded 2026-09-04, record 1da9dd45. Rubric v3.1. The full record hash is 1da9dd45ffa8f987acfa89e2e0a7018c026c41ee7e43bbcb151ae793d0897fd3.</w:t>
      </w:r>
    </w:p>
    <w:p>
      <w:pPr>
        <w:pStyle w:val="ListBullet"/>
      </w:pPr>
      <w:r>
        <w:t>Strategy match 2 of 3: the public-market version of the asset class (syndicated loans for direct lending)</w:t>
      </w:r>
    </w:p>
    <w:p>
      <w:pPr>
        <w:pStyle w:val="ListBullet"/>
      </w:pPr>
      <w:r>
        <w:t>Risk and liquidity match 1 of 3: daily-liquid market series against a semi-liquid NAV fund (quarterly dealing at NAV under 5% cap per quarter): volatility and liquidity regimes differ, the PME construct exists for exactly this comparison</w:t>
      </w:r>
    </w:p>
    <w:p>
      <w:pPr>
        <w:pStyle w:val="ListBullet"/>
      </w:pPr>
      <w:r>
        <w:t>Provider independence 2 of 2: provider unaffiliated with the fund (Invesco / Morningstar LSTA class): the registry affiliation map ties it to none of the fund's advisers</w:t>
      </w:r>
    </w:p>
    <w:p>
      <w:pPr>
        <w:pStyle w:val="ListBullet"/>
      </w:pPr>
      <w:r>
        <w:t>Data held 2 of 2: daily public market series held (exchange-traded proxy, Yahoo adjusted close)</w:t>
      </w:r>
    </w:p>
    <w:p>
      <w:pPr>
        <w:pStyle w:val="Heading2"/>
        <w:keepNext/>
      </w:pPr>
      <w:r>
        <w:t>Declared benchmark and SEC-required comparators (cell 5.1)</w:t>
      </w:r>
    </w:p>
    <w:p>
      <w:r>
        <w:t>SEC-required comparator: Morningstar LSTA US Leveraged Loan, cited, not held, scored 5 of 10, below the threshold. The declaration itself earns no points.</w:t>
      </w:r>
    </w:p>
    <w:p>
      <w:r>
        <w:t>No comparison: cited, series not in the record: no comparison computed.</w:t>
      </w:r>
    </w:p>
    <w:p>
      <w:r>
        <w:t>SEC-required comparator: Bloomberg US Aggregate, cited, not held, scored 5 of 10,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keepNext/>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5.39%</w:t>
            </w:r>
          </w:p>
        </w:tc>
        <w:tc>
          <w:tcPr>
            <w:tcW w:type="dxa" w:w="1498"/>
          </w:tcPr>
          <w:p>
            <w:r>
              <w:t>n/a</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10.38%</w:t>
            </w:r>
          </w:p>
        </w:tc>
        <w:tc>
          <w:tcPr>
            <w:tcW w:type="dxa" w:w="1498"/>
          </w:tcPr>
          <w:p>
            <w:r>
              <w:t>12.6%</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2.05%</w:t>
            </w:r>
          </w:p>
        </w:tc>
        <w:tc>
          <w:tcPr>
            <w:tcW w:type="dxa" w:w="1498"/>
          </w:tcPr>
          <w:p>
            <w:r>
              <w:t>3.6%</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12.66%</w:t>
            </w:r>
          </w:p>
        </w:tc>
        <w:tc>
          <w:tcPr>
            <w:tcW w:type="dxa" w:w="1498"/>
          </w:tcPr>
          <w:p>
            <w:r>
              <w:t>14.4%</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12.62%</w:t>
            </w:r>
          </w:p>
        </w:tc>
        <w:tc>
          <w:tcPr>
            <w:tcW w:type="dxa" w:w="1498"/>
          </w:tcPr>
          <w:p>
            <w:r>
              <w:t>11%</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8.92%</w:t>
            </w:r>
          </w:p>
        </w:tc>
        <w:tc>
          <w:tcPr>
            <w:tcW w:type="dxa" w:w="1498"/>
          </w:tcPr>
          <w:p>
            <w:r>
              <w:t>8%</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Cliffwater Direct Lending Index (CDLI)</w:t>
            </w:r>
          </w:p>
        </w:tc>
        <w:tc>
          <w:tcPr>
            <w:tcW w:type="dxa" w:w="1008"/>
          </w:tcPr>
          <w:p>
            <w:r>
              <w:t>6 of 10</w:t>
            </w:r>
          </w:p>
        </w:tc>
        <w:tc>
          <w:tcPr>
            <w:tcW w:type="dxa" w:w="5472"/>
          </w:tcPr>
          <w:p>
            <w:r>
              <w:t>rejected: affiliated provider (score 6 of 10), an index published by the fund's own adviser is ineligible for the meaningful-benchmark slot. Criteria: Strategy match 3 of 3: same asset class and sub-strategy (private credit / direct lending), 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 Provider independence 0 of 2: index published by the fund's own adviser (Cliffwater) per the registry affiliation map. A manufacturer-owned yardstick is not an independent comparator and is ineligible for the meaningful-benchmark slot, Data held 0 of 2: cited, series not in the record: no comparison can be computed yet.</w:t>
            </w:r>
          </w:p>
        </w:tc>
      </w:tr>
      <w:tr>
        <w:trPr>
          <w:cantSplit/>
        </w:trPr>
        <w:tc>
          <w:tcPr>
            <w:tcW w:type="dxa" w:w="2880"/>
          </w:tcPr>
          <w:p>
            <w:r>
              <w:t>Bloomberg US Aggregate Bond Index</w:t>
            </w:r>
          </w:p>
        </w:tc>
        <w:tc>
          <w:tcPr>
            <w:tcW w:type="dxa" w:w="1008"/>
          </w:tcPr>
          <w:p>
            <w:r>
              <w:t>5 of 10</w:t>
            </w:r>
          </w:p>
        </w:tc>
        <w:tc>
          <w:tcPr>
            <w:tcW w:type="dxa" w:w="5472"/>
          </w:tcPr>
          <w:p>
            <w:r>
              <w:t>score 5 of 10 below the threshold 6 of 10. Criteria: Strategy match 2 of 3: the public-market version of the asset class (core bonds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(Bloomberg): the registry affiliation map ties it to none of the fund's advisers, Data held 0 of 2: cited, series not in the record: no comparison can be computed yet.</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(N-23C3A filings are offer NOTIFICATIONS, not results. Per-offer proration outcomes not yet evidenced).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N-23C3A filings are offer NOTIFICATIONS, not results. Per-offer proration outcomes not yet 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net assets ~$31.26B printed, but the carrying cells (1.1/3.6) are partial, verification unlocks this fact</w:t>
            </w:r>
          </w:p>
        </w:tc>
        <w:tc>
          <w:tcPr>
            <w:tcW w:type="dxa" w:w="1152"/>
          </w:tcPr>
          <w:p>
            <w:r>
              <w:t>3.4</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not computable, the fund's net assets are not on record (net assets ~$31.26B printed, but the carrying cells (1.1/3.6) are partial,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2026-03-31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23, verified 0, computed 13, partial 7, fetched 2, n/a 10, pending 0. 36 of 45 resolved: 23 evidenced, 13 computed, 9 partial, 10 n/a, 0 verified by a person.</w:t>
      </w:r>
    </w:p>
    <w:p>
      <w:r>
        <w:t>Of the 36 resolved cells (structured, extracted-unverified, verified and computed), 36 carry a source document, 36 a section, 23 a verbatim quote (computed cells carry their computation and inputs instead of a quote) and 36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N-23C3A 2024-07-15</w:t>
            </w:r>
          </w:p>
        </w:tc>
        <w:tc>
          <w:tcPr>
            <w:tcW w:type="dxa" w:w="4896"/>
          </w:tcPr>
          <w:p>
            <w:r>
              <w:t>accession 0001213900-24-061279</w:t>
            </w:r>
          </w:p>
          <w:p>
            <w:r>
              <w:t>https://www.sec.gov/Archives/edgar/data/1735964/000121390024061279/ea0209299-01_n23c3a.htm</w:t>
            </w:r>
          </w:p>
        </w:tc>
        <w:tc>
          <w:tcPr>
            <w:tcW w:type="dxa" w:w="2592"/>
          </w:tcPr>
          <w:p>
            <w:r>
              <w:t>2.7 (cited as the set of N-23C3A filings, 8 held)</w:t>
            </w:r>
          </w:p>
        </w:tc>
      </w:tr>
      <w:tr>
        <w:trPr>
          <w:cantSplit/>
        </w:trPr>
        <w:tc>
          <w:tcPr>
            <w:tcW w:type="dxa" w:w="1872"/>
          </w:tcPr>
          <w:p>
            <w:r>
              <w:t>N-23C3A 2024-10-15</w:t>
            </w:r>
          </w:p>
        </w:tc>
        <w:tc>
          <w:tcPr>
            <w:tcW w:type="dxa" w:w="4896"/>
          </w:tcPr>
          <w:p>
            <w:r>
              <w:t>accession 0001213900-24-087625</w:t>
            </w:r>
          </w:p>
          <w:p>
            <w:r>
              <w:t>https://www.sec.gov/Archives/edgar/data/1735964/000121390024087625/ea0217326-01_n23c3a.htm</w:t>
            </w:r>
          </w:p>
        </w:tc>
        <w:tc>
          <w:tcPr>
            <w:tcW w:type="dxa" w:w="2592"/>
          </w:tcPr>
          <w:p>
            <w:r>
              <w:t>2.7 (cited as the set of N-23C3A filings, 8 held)</w:t>
            </w:r>
          </w:p>
        </w:tc>
      </w:tr>
      <w:tr>
        <w:trPr>
          <w:cantSplit/>
        </w:trPr>
        <w:tc>
          <w:tcPr>
            <w:tcW w:type="dxa" w:w="1872"/>
          </w:tcPr>
          <w:p>
            <w:r>
              <w:t>N-23C3A 2025-01-17</w:t>
            </w:r>
          </w:p>
        </w:tc>
        <w:tc>
          <w:tcPr>
            <w:tcW w:type="dxa" w:w="4896"/>
          </w:tcPr>
          <w:p>
            <w:r>
              <w:t>accession 0001213900-25-004435</w:t>
            </w:r>
          </w:p>
          <w:p>
            <w:r>
              <w:t>https://www.sec.gov/Archives/edgar/data/1735964/000121390025004435/ea0227783-01_n23c3a.htm</w:t>
            </w:r>
          </w:p>
        </w:tc>
        <w:tc>
          <w:tcPr>
            <w:tcW w:type="dxa" w:w="2592"/>
          </w:tcPr>
          <w:p>
            <w:r>
              <w:t>2.7 (cited as the set of N-23C3A filings, 8 held)</w:t>
            </w:r>
          </w:p>
        </w:tc>
      </w:tr>
      <w:tr>
        <w:trPr>
          <w:cantSplit/>
        </w:trPr>
        <w:tc>
          <w:tcPr>
            <w:tcW w:type="dxa" w:w="1872"/>
          </w:tcPr>
          <w:p>
            <w:r>
              <w:t>N-23C3A 2025-05-08</w:t>
            </w:r>
          </w:p>
        </w:tc>
        <w:tc>
          <w:tcPr>
            <w:tcW w:type="dxa" w:w="4896"/>
          </w:tcPr>
          <w:p>
            <w:r>
              <w:t>accession 0001213900-25-040865</w:t>
            </w:r>
          </w:p>
          <w:p>
            <w:r>
              <w:t>https://www.sec.gov/Archives/edgar/data/1735964/000121390025040865/ea0241107-01_n23c3a.htm</w:t>
            </w:r>
          </w:p>
        </w:tc>
        <w:tc>
          <w:tcPr>
            <w:tcW w:type="dxa" w:w="2592"/>
          </w:tcPr>
          <w:p>
            <w:r>
              <w:t>2.7 (cited as the set of N-23C3A filings, 8 held)</w:t>
            </w:r>
          </w:p>
        </w:tc>
      </w:tr>
      <w:tr>
        <w:trPr>
          <w:cantSplit/>
        </w:trPr>
        <w:tc>
          <w:tcPr>
            <w:tcW w:type="dxa" w:w="1872"/>
          </w:tcPr>
          <w:p>
            <w:r>
              <w:t>486BPOS 2025-07-29</w:t>
            </w:r>
          </w:p>
        </w:tc>
        <w:tc>
          <w:tcPr>
            <w:tcW w:type="dxa" w:w="4896"/>
          </w:tcPr>
          <w:p>
            <w:r>
              <w:t>accession 0001213900-25-068706</w:t>
            </w:r>
          </w:p>
          <w:p>
            <w:r>
              <w:t>https://www.sec.gov/Archives/edgar/data/1735964/000121390025068706/ea0248544-01_486bpos.htm</w:t>
            </w:r>
          </w:p>
        </w:tc>
        <w:tc>
          <w:tcPr>
            <w:tcW w:type="dxa" w:w="2592"/>
          </w:tcPr>
          <w:p>
            <w:r>
              <w:t>1.3, 1.11, 2.4, 2.5, 2.6, 2.7, 3.2, 4.1, 4.6, 6.2, 6.3, 6.4, 6.5</w:t>
            </w:r>
          </w:p>
        </w:tc>
      </w:tr>
      <w:tr>
        <w:trPr>
          <w:cantSplit/>
        </w:trPr>
        <w:tc>
          <w:tcPr>
            <w:tcW w:type="dxa" w:w="1872"/>
          </w:tcPr>
          <w:p>
            <w:r>
              <w:t>N-23C3A 2025-08-07</w:t>
            </w:r>
          </w:p>
        </w:tc>
        <w:tc>
          <w:tcPr>
            <w:tcW w:type="dxa" w:w="4896"/>
          </w:tcPr>
          <w:p>
            <w:r>
              <w:t>accession 0001213900-25-072928</w:t>
            </w:r>
          </w:p>
          <w:p>
            <w:r>
              <w:t>https://www.sec.gov/Archives/edgar/data/1735964/000121390025072928/ea0251882-01_n23c3a.htm</w:t>
            </w:r>
          </w:p>
        </w:tc>
        <w:tc>
          <w:tcPr>
            <w:tcW w:type="dxa" w:w="2592"/>
          </w:tcPr>
          <w:p>
            <w:r>
              <w:t>2.7 (cited as the set of N-23C3A filings, 8 held)</w:t>
            </w:r>
          </w:p>
        </w:tc>
      </w:tr>
      <w:tr>
        <w:trPr>
          <w:cantSplit/>
        </w:trPr>
        <w:tc>
          <w:tcPr>
            <w:tcW w:type="dxa" w:w="1872"/>
          </w:tcPr>
          <w:p>
            <w:r>
              <w:t>N-23C3A 2025-11-06</w:t>
            </w:r>
          </w:p>
        </w:tc>
        <w:tc>
          <w:tcPr>
            <w:tcW w:type="dxa" w:w="4896"/>
          </w:tcPr>
          <w:p>
            <w:r>
              <w:t>accession 0001213900-25-107013</w:t>
            </w:r>
          </w:p>
          <w:p>
            <w:r>
              <w:t>https://www.sec.gov/Archives/edgar/data/1735964/000121390025107013/ea0263913-01_n23c3a.htm</w:t>
            </w:r>
          </w:p>
        </w:tc>
        <w:tc>
          <w:tcPr>
            <w:tcW w:type="dxa" w:w="2592"/>
          </w:tcPr>
          <w:p>
            <w:r>
              <w:t>2.7 (cited as the set of N-23C3A filings, 8 held)</w:t>
            </w:r>
          </w:p>
        </w:tc>
      </w:tr>
      <w:tr>
        <w:trPr>
          <w:cantSplit/>
        </w:trPr>
        <w:tc>
          <w:tcPr>
            <w:tcW w:type="dxa" w:w="1872"/>
          </w:tcPr>
          <w:p>
            <w:r>
              <w:t>N-23C3A 2026-02-05</w:t>
            </w:r>
          </w:p>
        </w:tc>
        <w:tc>
          <w:tcPr>
            <w:tcW w:type="dxa" w:w="4896"/>
          </w:tcPr>
          <w:p>
            <w:r>
              <w:t>accession 0001213900-26-012614</w:t>
            </w:r>
          </w:p>
          <w:p>
            <w:r>
              <w:t>https://www.sec.gov/Archives/edgar/data/1735964/000121390026012614/ea0275339-01_n23c3a.htm</w:t>
            </w:r>
          </w:p>
        </w:tc>
        <w:tc>
          <w:tcPr>
            <w:tcW w:type="dxa" w:w="2592"/>
          </w:tcPr>
          <w:p>
            <w:r>
              <w:t>2.7 (cited as the set of N-23C3A filings, 8 held)</w:t>
            </w:r>
          </w:p>
        </w:tc>
      </w:tr>
      <w:tr>
        <w:trPr>
          <w:cantSplit/>
        </w:trPr>
        <w:tc>
          <w:tcPr>
            <w:tcW w:type="dxa" w:w="1872"/>
          </w:tcPr>
          <w:p>
            <w:r>
              <w:t>N-23C3A 2026-05-08</w:t>
            </w:r>
          </w:p>
        </w:tc>
        <w:tc>
          <w:tcPr>
            <w:tcW w:type="dxa" w:w="4896"/>
          </w:tcPr>
          <w:p>
            <w:r>
              <w:t>accession 0001213900-26-053701</w:t>
            </w:r>
          </w:p>
          <w:p>
            <w:r>
              <w:t>https://www.sec.gov/Archives/edgar/data/1735964/000121390026053701/ea0289460-01_n23c3a.htm</w:t>
            </w:r>
          </w:p>
        </w:tc>
        <w:tc>
          <w:tcPr>
            <w:tcW w:type="dxa" w:w="2592"/>
          </w:tcPr>
          <w:p>
            <w:r>
              <w:t>2.7, 2.7 (cited as the set of N-23C3A filings, 8 held), 3.1, 3.2</w:t>
            </w:r>
          </w:p>
        </w:tc>
      </w:tr>
      <w:tr>
        <w:trPr>
          <w:cantSplit/>
        </w:trPr>
        <w:tc>
          <w:tcPr>
            <w:tcW w:type="dxa" w:w="1872"/>
          </w:tcPr>
          <w:p>
            <w:r>
              <w:t>N-CSR 2026-06-08</w:t>
            </w:r>
          </w:p>
        </w:tc>
        <w:tc>
          <w:tcPr>
            <w:tcW w:type="dxa" w:w="4896"/>
          </w:tcPr>
          <w:p>
            <w:r>
              <w:t>accession 0001213900-26-066324</w:t>
            </w:r>
          </w:p>
          <w:p>
            <w:r>
              <w:t>https://www.sec.gov/Archives/edgar/data/1735964/000121390026066324/ea0291746-01_ncsr.htm</w:t>
            </w:r>
          </w:p>
        </w:tc>
        <w:tc>
          <w:tcPr>
            <w:tcW w:type="dxa" w:w="2592"/>
          </w:tcPr>
          <w:p>
            <w:r>
              <w:t>1.1, 1.2, 1.3, 1.4, 2.1, 2.2, 2.3, 3.4, 3.6, 4.2, 4.3, 4.4, 4.5, 4.8, 5.1, 6.1, 6.4</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(12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Cliffwater Corporate Lending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Cliffwater Corporate Lending Fund for US casual-dining restaurant group 401(k) plan (~$1.6B, FL)</dc:title>
  <dc:subject>Fiduciary Duties in Selecting Designated Investment Alternatives, 91 FR 16088 (Mar. 31, 2026), RIN 1210-AC38, proposed 29 CFR 2550.404a-6, paragraphs (g) to (l)</dc:subject>
  <dc:creator>Tark</dc:creator>
  <cp:keywords>cliffwater_cclfx,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