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casual-dining restaurant group 401(k) plan (~$1.6B, FL)</w:t>
      </w:r>
      <w:r>
        <w:t xml:space="preserve">. Product: PIMCO Flexible Credit Income Fund (TRUE interval fund (Rule 23c-3), flexible credit, CIK 1688554). </w:t>
      </w:r>
      <w:r>
        <w:t>Date: 2026-09-04. Status: DRAFT until the committee signs page one. Cells marked extracted-unverified pend independent verification.</w:t>
      </w:r>
    </w:p>
    <w:p>
      <w:pPr>
        <w:pStyle w:val="Heading1"/>
        <w:keepNext/>
      </w:pPr>
      <w:r>
        <w:t>Decision summary</w:t>
      </w:r>
    </w:p>
    <w:p>
      <w:r>
        <w:t>Structural liquidity verdict: CONDITIONAL (dealing terms on record, plan-independent). Scenario verdict under US casual-dining restaurant group 401(k) plan (~$1.6B, FL) (ILLUSTRATIVE): CONDITIONAL.</w:t>
      </w:r>
    </w:p>
    <w:p>
      <w:r>
        <w:t>Meaningful benchmark (paragraph (k)): Cliffwater Direct Lending Index (CDLI) at 7 of 10, cited, series not in the record. Meaningful benchmark by descriptor. No comparison until its series is held. Peer comparison (paragraphs (g) and (h)): relative wealth ratio 0.8757 vs the equal-weight peer composite over 2021 to 2025 (n=4), not a benchmark and not a PME.</w:t>
      </w:r>
    </w:p>
    <w:p>
      <w:r>
        <w:t>Reference comparison, not the meaningful benchmark: Senior loan investable proxy (BKLN, for Morningstar LSTA class), KS-PME 1.1089, Direct Alpha 1.3%/yr over 2018-07-18 to 2026-07-17.</w:t>
      </w:r>
    </w:p>
    <w:p>
      <w:r>
        <w:t>Evidence coverage: 41 of 44 resolved: 27 evidenced, 14 computed, 3 partial, 11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8.4 years of history since 2017-02-22 (cell 1.11), net assets of approx. $3.6B (cell 3.6), a KS-PME of 1.1089 against BKLN (cell 1.8) and a relative wealth ratio of 0.8757 against the peer composite (cell 1.12).</w:t>
            </w:r>
          </w:p>
          <w:p>
            <w:r>
              <w:t>Facts on record: 1.8 KS-PME 1.11 vs BKLN (reference, not the benchmark). 1.11 inception 2017-02-22, 8.4 years. 1.12 peer relative wealth ratio 0.88, not a benchmark.</w:t>
            </w:r>
          </w:p>
          <w:p>
            <w:r>
              <w:t>1.1 Net total return series (partial): PARTIAL: only fiscal-year points printed.</w:t>
            </w:r>
          </w:p>
          <w:p>
            <w:r>
              <w:t>1.2 Trailing &amp; calendar-year returns (extracted-unverified): Average Annual Total Return, period ended 6/30/2025 (1Y / 5Y / since commencement 02/22/17): Institutional (PFLEX) 14.10% / 8.27% / 6.09%, Class A-1 (PFAIX) 13.52 / 7.85 / 5.51, Class A-2 (PFALX) 13.52 / 7.67 / 5.41, and adjusted for max 3.00% sales charge 11.28 / 7.23 / 5.16, Class A-3 (PFASX) 13.25 / 7.46 / 5.18, Class A-4 (PFFLX) 13.25 / 7.46 / 5.28, adjusted 11.01 / 7.02 / 4.90.</w:t>
            </w:r>
          </w:p>
          <w:p>
            <w:r>
              <w:t>1.3 Gross vs net spread (extracted-unverified): Gross = net currently: FY2025 Institutional ratios show 'Expenses' 5.12% identical to 'Expenses Excluding Waivers' 5.12% (and 1.97% = 1.97% excluding interest expense), no active waiver spread, FY2025 waived-fees table lists only the EM sister fund (PFLEX $0 waived).</w:t>
            </w:r>
          </w:p>
          <w:p>
            <w:r>
              <w:t>1.4 Distribution history &amp; composition (extracted-unverified): Policy: income dividends declared daily, paid monthly.</w:t>
            </w:r>
          </w:p>
          <w:p>
            <w:r>
              <w:t>1.6 Volatility &amp; max drawdown (computed): Computed from the held daily series PFLEX (Yahoo adjusted close, approximates NAV total return with distributions reinvested), 2017-02-23 to 2026-08-13: annualized volatility 8.62% on 114 monthly returns, max drawdown -24.6% on the daily series (peak 2020-02-21 to trough 2020-03-23).</w:t>
            </w:r>
          </w:p>
          <w:p>
            <w:r>
              <w:t>1.7 De-smoothed volatility (computed): De-smoothed (Geltner AR1) annualized volatility 9.81% vs 8.62% observed (lag-1 autocorrelation rho 0.124, n=114 monthly returns of the held daily series PFLEX, Yahoo adjusted close, approximates NAV total return with distributions reinvested).</w:t>
            </w:r>
          </w:p>
          <w:p>
            <w:r>
              <w:t>1.8 Risk-adjusted metrics (PME etc) (computed): Meaningful benchmark (paragraph (k)), Cliffwater Direct Lending Index (CDLI) scored 7 of 10.</w:t>
            </w:r>
          </w:p>
          <w:p>
            <w:r>
              <w:t>1.9 Stress-window performance (computed): Computed stress-window performance from the held daily series (adjusted close, distributions reinvested).</w:t>
            </w:r>
          </w:p>
          <w:p>
            <w:r>
              <w:t>1.11 Track record &amp; manager tenure (extracted-unverified): Fund and Institutional Class inception 02/22/2017 (about 8.4-year track record at FYE 6/30/2025), class inceptions: A-4 11/30/2018, A-2 10/28/2019, A-3 11/09/2020, A-1 01/29/2021.</w:t>
            </w:r>
          </w:p>
          <w:p>
            <w:r>
              <w:t>1.12 Peer comparison (paragraphs (g) and (h)) (computed): Peer comparison (paragraphs (g) and (h)): private credit cohort, peers Cliffwater Corporate Lending Fund, Blackstone Private Credit Fund, CION Ares Diversified Credit Fund, Blue Owl Credit Income Corp., fund return basis Yahoo adjusted close, approximates NAV total return (PFLEX).</w:t>
            </w:r>
          </w:p>
          <w:p>
            <w:r>
              <w:t>Not applicable: 1.5 direct multi-sector credit portfolio, no sleeve or underlying-GP/fund-level return series is printed in any on-disk filing. 1.10 no market price exists for this unlisted continuously-offered interval fund, shares are sold and repurchased at NAV, so premium/discount is undefined.</w:t>
            </w:r>
          </w:p>
        </w:tc>
      </w:tr>
      <w:tr>
        <w:trPr>
          <w:cantSplit/>
        </w:trPr>
        <w:tc>
          <w:tcPr>
            <w:tcW w:type="dxa" w:w="1728"/>
          </w:tcPr>
          <w:p>
            <w:r>
              <w:t>2. Fees (h)</w:t>
            </w:r>
          </w:p>
        </w:tc>
        <w:tc>
          <w:tcPr>
            <w:tcW w:type="dxa" w:w="7632"/>
          </w:tcPr>
          <w:p>
            <w:r>
              <w:t>On fees and expenses (h), the management fee is 1.30% on the lesser of two bases (cell 2.1), the incentive fee is none (cell 2.2), the expense ratio is 1.97% (excluding interest expense (5.12% including reverse-repo interest), gross equals net, no waivers (FY2025, Institutional)) (cell 2.3) and the early repurchase fee is none (cell 2.7).</w:t>
            </w:r>
          </w:p>
          <w:p>
            <w:r>
              <w:t>Facts on record: 2.1 1.30% on the lesser of two bases. 2.2 incentive fee: none. 2.3 1.97% expense ratio, excluding interest expense (5.12% including reverse-repo interest), gross equals net, no waivers (FY2025, Institutional). 2.4 no AFFE line. 2.7 early repurchase fee: none.</w:t>
            </w:r>
          </w:p>
          <w:p>
            <w:r>
              <w:t>2.1 Management fee (rate AND base) (extracted-unverified): RATE AND BASE, effective 4/1/2025: annual fee, payable monthly, equal to the LESSER of (i) 1.30% of average daily 'total managed assets' (total assets including reverse-repo/dollar-roll/borrowing assets, minus accrued liabilities other than those financings) and (ii) 1.75% of average daily net assets (excluding preferred).</w:t>
            </w:r>
          </w:p>
          <w:p>
            <w:r>
              <w:t>2.2 Incentive fee terms (extracted-unverified): Documented absence: no incentive or performance fee at fund level.</w:t>
            </w:r>
          </w:p>
          <w:p>
            <w:r>
              <w:t>2.3 Total expense ratio &amp; waivers (extracted-unverified): FY2025 actual ratios to average net assets (Consolidated Financial Highlights, FYE 6/30/2025, gross=net, no waivers): Institutional 5.12% incl. interest expense / 1.97% excl. interest, A-1 6.45% / 2.60% (f), A-2 5.62% / 2.47%, A-3 5.87% / 2.72%, A-4 5.80% / 2.70%.</w:t>
            </w:r>
          </w:p>
          <w:p>
            <w:r>
              <w:t>2.4 AFFE (extracted-unverified): No AFFE line: the Summary of Fund Expenses (486BPOS, Oct 2025) contains only Management Fees 1.75%, Distribution and/or Service (12b-1) Fees N/A-0.75%, Interest Payments on Borrowed Funds 3.15%, Other Expenses 0.01%, the string 'Acquired Fund' appears zero times in the entire prospectus, documented structural absence of an Acquired Fund Fees and Expenses line item.</w:t>
            </w:r>
          </w:p>
          <w:p>
            <w:r>
              <w:t>2.6 Loads &amp; servicing fees (extracted-unverified): Per class (486BPOS, Oct 2025): Institutional (PFLEX), no load, no 12b-1, minimum $1,000,000 initial / no subsequent minimum.</w:t>
            </w:r>
          </w:p>
          <w:p>
            <w:r>
              <w:t>2.7 Early repurchase fee (extracted-unverified): Documented absence of a Rule 23c-3 early repurchase fee: fee table 'Maximum Early Withdrawal Charge (Load)' is None for Institutional/A-1/A-3 and 1.00% for A-2/A-4 - and that EWC applies ONLY to load-waived purchases of $250,000+ repurchased within 12 months of purchase (a CDSC substitute for the waived sales charge, not a repurchase fee on interval-fund tenders generally).</w:t>
            </w:r>
          </w:p>
          <w:p>
            <w:r>
              <w:t>2.9 Fee peer percentile (computed): Cohort placement (private credit cohort): mgmt fee: 90th percentile of cohort (n=5), above the median of 1.25 | expense ratio (bases differ, see notes): 30th percentile of cohort (n=5), below the median of 3.76 | repurchase cap: 50th percentile of cohort (n=5), at the median of 5.</w:t>
            </w:r>
          </w:p>
          <w:p>
            <w:r>
              <w:t>Not applicable: 2.5 no numeric underlying-fund fee ranges are printed anywhere in the on-disk filings, the fund invests directly and its fee table carries no AFFE line. 2.8 CIT only. 2.10 requires the plan committee's own value-for-fees determination, workflow output, not public product data (inputs live in cells 2.1-2.7).</w:t>
            </w:r>
          </w:p>
        </w:tc>
      </w:tr>
      <w:tr>
        <w:trPr>
          <w:cantSplit/>
        </w:trPr>
        <w:tc>
          <w:tcPr>
            <w:tcW w:type="dxa" w:w="1728"/>
          </w:tcPr>
          <w:p>
            <w:r>
              <w:t>3. Liquidity (i)</w:t>
            </w:r>
          </w:p>
        </w:tc>
        <w:tc>
          <w:tcPr>
            <w:tcW w:type="dxa" w:w="7632"/>
          </w:tcPr>
          <w:p>
            <w:r>
              <w:t>On liquidity (i), the wrapper deals by quarterly offers, 5% cap per quarter on outstanding shares, the repurchase program is active as of 2025-06-30 (cell 3.1), no proration is identified in the filings on record (cell 3.3), the plan's filed outflow proxy is 10.8% of the position per year (the plan record) and the structural verdict is conditional with the scenario verdict conditional under this plan (ILLUSTRATIVE, cell 3.9).</w:t>
            </w:r>
          </w:p>
          <w:p>
            <w:r>
              <w:t>Facts on record: 3.1 quarterly dealing, 5% cap per quarter on outstanding shares. 3.3 no gating identified in the filings on record. 3.6 $3.6B net assets. 3.9 structural verdict conditional, plan-independent.</w:t>
            </w:r>
          </w:p>
          <w:p>
            <w:r>
              <w:t>3.1 Wrapper liquidity terms (extracted-unverified): Interval fund under Rule 23c-3: FUNDAMENTAL policy of quarterly repurchase offers for between 5% and 25% of outstanding Common Shares at NAV, currently expects 5% per quarter (the minimum permitted).</w:t>
            </w:r>
          </w:p>
          <w:p>
            <w:r>
              <w:t>3.2 Repurchase mechanics (extracted-unverified): Current cycle (N-23C3A, Date of Notification July 2, 2026, joint filing for CAFLX/PFLEX/EMFLX/PMFLX): PFLEX offer amount 5% of outstanding shares, Repurchase Request Deadline NYSE close (ordinarily 4:00 p.m. ET) August 5, 2026, strictly observed, Repurchase Pricing Date expected the same day (must be no later than 14 days after the deadline), payment distributed no later than 7 calendar days after the Pricing Date, requests modifiable/withdrawable any time before the deadline, next quarterly deadline expected November 5, 2026.</w:t>
            </w:r>
          </w:p>
          <w:p>
            <w:r>
              <w:t>3.3 Repurchase history (extracted-unverified): FY2025 repurchase results (N-CSR Note 14 table, all four offers at 5%): deadline 8/7/2024 - 18,406,351 shares tendered, $129,396,644 paid, 4.32% of outstanding repurchased, 11/7/2024 - 13,634,106, $98,301,900, 3.10%, 2/7/2025 - 11,671,831, $83,103,435, 2.52%, 5/7/2025 - 11,871,031, $82,859,799, 2.36%.</w:t>
            </w:r>
          </w:p>
          <w:p>
            <w:r>
              <w:t>3.4 Portfolio liquidity profile (extracted-unverified): As of 6/30/2025 (thousands): total investments at fair value $5,379,220 - Level 1 $416,686 (7.7%), Level 2 $3,812,308 (70.9%), Level 3 $1,150,226 (21.4%), cash $7,146.</w:t>
            </w:r>
          </w:p>
          <w:p>
            <w:r>
              <w:t>3.6 Fund leverage &amp; facilities (extracted-unverified): Leverage is via reverse repurchase agreements (no bank credit facility or preferred shares disclosed): payable for reverse repos $1,857,462k against net assets $3,596,873k at 6/30/2025 (~51.6% of net assets), Total Effective Leverage 34.13% of total managed assets at 6/30/2025, FY2025 average 35.41% of average total managed assets (54.82% of average net assets attributable to common shares) at a 5.66% weighted-average interest cost.</w:t>
            </w:r>
          </w:p>
          <w:p>
            <w:r>
              <w:t>3.7 Plan participant liquidity demand (computed, this plan): Plan-side demand profile for this plan (Form 5500, plan year 2024-05-01 to 2025-04-30): 12,176 separated participants with balances = 28.2% of 43,129 accounts (the near-term liquidity tail), 197,946 active, 4 retirees in pay status, filed outflow proxy 10.75% of beginning net assets (Schedule H totals).</w:t>
            </w:r>
          </w:p>
          <w:p>
            <w:r>
              <w:t>3.8 Redemption stress test (computed, this plan): ILLUSTRATIVE redemption stress test for this plan: filed outflow proxy 10.75% of the position, slider assumption 9.2%, stressed demand 18.2% vs 20% annual wrapper capacity, within wrapper capacity (18.2% vs 20%) IF offers are not prorated. Source: this plan's liquidity match.</w:t>
            </w:r>
          </w:p>
          <w:p>
            <w:r>
              <w:t>3.9 Product-to-plan liquidity match (computed, this plan): Structural liquidity verdict CONDITIONAL (dealing terms on record, plan-independent). Scenario verdict under this plan (ILLUSTRATIVE): CONDITIONAL.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daily (the registry descriptors) and the auditor is PricewaterhouseCoopers LLP (Big 4) (cell 4.5).</w:t>
            </w:r>
          </w:p>
          <w:p>
            <w:r>
              <w:t>Facts on record: 4.5 PricewaterhouseCoopers LLP (Big 4).</w:t>
            </w:r>
          </w:p>
          <w:p>
            <w:r>
              <w:t>4.1 Valuation policy &amp; NAV frequency (extracted-unverified): DAILY NAV: per-class NAV computed each NYSE trading day as of NYSE close (normally 4:00 p.m. ET) by dividing portfolio value plus other assets less liabilities by shares outstanding, not calculated on days the NYSE is closed.</w:t>
            </w:r>
          </w:p>
          <w:p>
            <w:r>
              <w:t>4.2 Fair-value hierarchy (L1/2/3) (extracted-unverified): As of 6/30/2025 (thousands): Investments in securities/affiliates at value, Level 1 $416,686, Level 2 $3,812,308, Level 3 $1,150,226, total $5,379,220 (L3 = 21.4% of investments).</w:t>
            </w:r>
          </w:p>
          <w:p>
            <w:r>
              <w:t>4.3 Independent valuation agent (extracted-unverified): No independent third-party valuation agent is named: the Board designated the ADVISER, PIMCO, as Valuation Designee under Rule 2a-5 for all Fund investments, PIMCO carries out the designation through internal teams and committees under its own policies and procedures.</w:t>
            </w:r>
          </w:p>
          <w:p>
            <w:r>
              <w:t>4.4 Methodology by asset type (extracted-unverified): By asset type: exchange-traded common stocks/ETFs/futures/rights/warrants at last reported sale or settlement price (Level 1), registered open-end funds at NAV (Level 1), fixed income (corporate, convertible and municipal bonds, agencies, sovereigns, bank loans, short-term paper) via broker/dealer quotes or Pricing Sources using internal models with observable inputs, yield curves, prepayment speeds, credit spreads, default rates (Level 2), mortgage-related and ABS via Pricing Source tranche-level models using current market data, estimated cash flows, market-based yield spreads and collateral performance (Level 2), foreign-close movement adjustments (Level 2), methods relying on significant unobservable inputs are categorized Level 3.</w:t>
            </w:r>
          </w:p>
          <w:p>
            <w:r>
              <w:t>4.5 Auditor &amp; opinion (extracted-unverified): PricewaterhouseCoopers LLP, Kansas City, Missouri, opinion dated August 27, 2025 on the FY2025 financial statements (PFLEX presented on a consolidated basis), unqualified ('present fairly, in all material respects'), PCAOB-registered, tenure: auditor of one or more investment companies in PIMCO Interval Funds since 2016 (~9 years at signing).</w:t>
            </w:r>
          </w:p>
          <w:p>
            <w:r>
              <w:t>4.6 NAV restatement history (extracted-unverified): None identified: searched 'restat', 'error correction' and 'reprocess' across all 11 on-disk stripped filings (N-CSR FY2025, 486BPOS 2025-10-24, 424B3 2025-04-04, eight N-23C3A 2024-10-07 through 2026-07-02) and grepped the raw HTML filings on disk for this fund.</w:t>
            </w:r>
          </w:p>
          <w:p>
            <w:r>
              <w:t>4.8 Smoothing diagnostics (computed): Smoothing diagnostics: lag-1 autocorrelation rho 0.124 on n=114 monthly returns of PFLEX (Yahoo adjusted close, approximates NAV total return with distributions reinvested), observed annualized volatility 8.62% vs de-smoothed 9.81%.</w:t>
            </w:r>
          </w:p>
          <w:p>
            <w:r>
              <w:t>Not applicable: 4.7 no market price for a non-listed NAV-transaction wrapper. 4.9 CIT only.</w:t>
            </w:r>
          </w:p>
        </w:tc>
      </w:tr>
      <w:tr>
        <w:trPr>
          <w:cantSplit/>
        </w:trPr>
        <w:tc>
          <w:tcPr>
            <w:tcW w:type="dxa" w:w="1728"/>
          </w:tcPr>
          <w:p>
            <w:r>
              <w:t>5. Performance Benchmarks (k)</w:t>
            </w:r>
          </w:p>
        </w:tc>
        <w:tc>
          <w:tcPr>
            <w:tcW w:type="dxa" w:w="7632"/>
          </w:tcPr>
          <w:p>
            <w:r>
              <w:t>On performance benchmarks (k), the meaningful benchmark is Cliffwater Direct Lending Index (CDLI), scored 7 of 10 (cell 5.3) and meaningful benchmark by descriptor. No comparison until its series is held.</w:t>
            </w:r>
          </w:p>
          <w:p>
            <w:r>
              <w:t>Facts on record: 5.3 CDLI selected by descriptor, 7 of 10.</w:t>
            </w:r>
          </w:p>
          <w:p>
            <w:r>
              <w:t>5.1 Self-declared benchmark (extracted-unverified): Documented absence of a self-declared benchmark: the shareholder report shows ICE BofA US High Yield Index (1Y 10.24%, 5Y 6.01%, since 02/22/17 4.93%, as of 6/30/2025) solely because the SEC requires an appropriate broad-based index, and the Fund expressly disclaims it, not managed to an index, index not to be viewed as a benchmark and 'not intended to be indicative of the Fund's investment strategies, portfolio components or past or future performance.'</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series Senior loan investable proxy (BKLN, for Morningstar LSTA class), reference comparison, not the meaningful benchmark): window 2018-07-18 to 2026-07-17 (series comparison, clipped: proxy series begins 2018-07-18, proxy series ends 2026-07-17).</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interval fund (Rule 23c-3) (cell 6.1), tax reporting is Form 1099 (cell 6.4) and cells 6.6 and 6.8 are advisor-completed under paragraph (l).</w:t>
            </w:r>
          </w:p>
          <w:p>
            <w:r>
              <w:t>Facts on record: 6.1 interval fund (Rule 23c-3). 6.4 Form 1099.</w:t>
            </w:r>
          </w:p>
          <w:p>
            <w:r>
              <w:t>6.1 Structure map (extracted-unverified): Massachusetts business trust, closed-end management investment company continuously offering shares, interval fund (Rule 23c-3 fundamental policy), DIVERSIFIED, commenced operations 02/22/2017.</w:t>
            </w:r>
          </w:p>
          <w:p>
            <w:r>
              <w:t>6.2 Strategy &amp; instrument complexity (extracted-unverified): Flexible multi-sector credit: objective is attractive risk-adjusted returns and current income across global credit, corporate debt (fixed/variable/floating bonds, loans, convertibles and contingent convertibles, stressed/distressed/defaulted), mortgage-related and consumer instruments, CDOs including CLOs, government/sovereign debt, municipals, EM issuers, may invest without limit in investment grade OR below-investment-grade ('junk') securities.</w:t>
            </w:r>
          </w:p>
          <w:p>
            <w:r>
              <w:t>6.3 Conflicts &amp; affiliated transactions (extracted-unverified): Affiliation web: PIMCO is a majority-owned subsidiary of Allianz Asset Management, Distributor PIMCO Investments LLC is a wholly-owned PIMCO subsidiary and retained PFLEX CDSCs ($11,308 FY2025).</w:t>
            </w:r>
          </w:p>
          <w:p>
            <w:r>
              <w:t>6.4 Tax reporting (1099 vs K-1) (extracted-unverified): Form 1099-DIV (literally printed): tax character of all dividends/distributions reported on Form 1099-DIV at each calendar year end, 'In January 2026, you will be advised on IRS Form 1099-DIV as to the federal tax status of the dividends and distributions received by you in calendar year 2025.' Regulated-fund 1099 reporting, no K-1.</w:t>
            </w:r>
          </w:p>
          <w:p>
            <w:r>
              <w:t>6.5 Service-provider web (extracted-unverified): Investment Manager: PIMCO (Pacific Investment Management Company LLC), Newport Beach.</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1.30% on the lesser of two bases</w:t>
            </w:r>
          </w:p>
        </w:tc>
        <w:tc>
          <w:tcPr>
            <w:tcW w:type="dxa" w:w="2880"/>
          </w:tcPr>
          <w:p>
            <w:r>
              <w:t>extracted-unverified</w:t>
            </w:r>
          </w:p>
        </w:tc>
      </w:tr>
      <w:tr>
        <w:trPr>
          <w:cantSplit/>
        </w:trPr>
        <w:tc>
          <w:tcPr>
            <w:tcW w:type="dxa" w:w="2880"/>
          </w:tcPr>
          <w:p>
            <w:r>
              <w:t>2.2 Incentive fee terms</w:t>
            </w:r>
          </w:p>
        </w:tc>
        <w:tc>
          <w:tcPr>
            <w:tcW w:type="dxa" w:w="3600"/>
          </w:tcPr>
          <w:p>
            <w:r>
              <w:t>incentive fee: none</w:t>
            </w:r>
          </w:p>
        </w:tc>
        <w:tc>
          <w:tcPr>
            <w:tcW w:type="dxa" w:w="2880"/>
          </w:tcPr>
          <w:p>
            <w:r>
              <w:t>extracted-unverified</w:t>
            </w:r>
          </w:p>
        </w:tc>
      </w:tr>
      <w:tr>
        <w:trPr>
          <w:cantSplit/>
        </w:trPr>
        <w:tc>
          <w:tcPr>
            <w:tcW w:type="dxa" w:w="2880"/>
          </w:tcPr>
          <w:p>
            <w:r>
              <w:t>2.3 Total expense ratio &amp; waivers</w:t>
            </w:r>
          </w:p>
        </w:tc>
        <w:tc>
          <w:tcPr>
            <w:tcW w:type="dxa" w:w="3600"/>
          </w:tcPr>
          <w:p>
            <w:r>
              <w:t>1.97% expense ratio, excluding interest expense (5.12% including reverse-repo interest), gross equals net, no waivers (FY2025, Institutional)</w:t>
            </w:r>
          </w:p>
        </w:tc>
        <w:tc>
          <w:tcPr>
            <w:tcW w:type="dxa" w:w="2880"/>
          </w:tcPr>
          <w:p>
            <w:r>
              <w:t>extracted-unverified</w:t>
            </w:r>
          </w:p>
        </w:tc>
      </w:tr>
      <w:tr>
        <w:trPr>
          <w:cantSplit/>
        </w:trPr>
        <w:tc>
          <w:tcPr>
            <w:tcW w:type="dxa" w:w="2880"/>
          </w:tcPr>
          <w:p>
            <w:r>
              <w:t>2.4 AFFE</w:t>
            </w:r>
          </w:p>
        </w:tc>
        <w:tc>
          <w:tcPr>
            <w:tcW w:type="dxa" w:w="3600"/>
          </w:tcPr>
          <w:p>
            <w:r>
              <w:t>no AFFE line</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none</w:t>
            </w:r>
          </w:p>
        </w:tc>
        <w:tc>
          <w:tcPr>
            <w:tcW w:type="dxa" w:w="2880"/>
          </w:tcPr>
          <w:p>
            <w:r>
              <w:t>extracted-unverified</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Yahoo adjusted close, approximates NAV total return (PFLEX).</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7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Cliffwater Direct Lending Index (CDLI)</w:t>
            </w:r>
          </w:p>
        </w:tc>
        <w:tc>
          <w:tcPr>
            <w:tcW w:type="dxa" w:w="1584"/>
          </w:tcPr>
          <w:p>
            <w:r>
              <w:t>published strategy index</w:t>
            </w:r>
          </w:p>
        </w:tc>
        <w:tc>
          <w:tcPr>
            <w:tcW w:type="dxa" w:w="864"/>
          </w:tcPr>
          <w:p>
            <w:r>
              <w:t>7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KS-PME 1.1089, Direct Alpha 1.3%/yr, 2018-07-18 to 2026-07-17</w:t>
            </w:r>
          </w:p>
        </w:tc>
      </w:tr>
      <w:tr>
        <w:trPr>
          <w:cantSplit/>
        </w:trPr>
        <w:tc>
          <w:tcPr>
            <w:tcW w:type="dxa" w:w="1584"/>
          </w:tcPr>
          <w:p>
            <w:r>
              <w:t>SEC-required comparator</w:t>
            </w:r>
          </w:p>
        </w:tc>
        <w:tc>
          <w:tcPr>
            <w:tcW w:type="dxa" w:w="2736"/>
          </w:tcPr>
          <w:p>
            <w:r>
              <w:t>ICE BofA US High Yield Index</w:t>
            </w:r>
          </w:p>
        </w:tc>
        <w:tc>
          <w:tcPr>
            <w:tcW w:type="dxa" w:w="1584"/>
          </w:tcPr>
          <w:p>
            <w:r>
              <w:t>fund-declared benchmark or SEC-required comparator</w:t>
            </w:r>
          </w:p>
        </w:tc>
        <w:tc>
          <w:tcPr>
            <w:tcW w:type="dxa" w:w="864"/>
          </w:tcPr>
          <w:p>
            <w:r/>
          </w:p>
        </w:tc>
        <w:tc>
          <w:tcPr>
            <w:tcW w:type="dxa" w:w="2592"/>
          </w:tcPr>
          <w:p>
            <w:r>
              <w:t>cited, not held, scored 5 of 10, below the threshold</w:t>
            </w:r>
          </w:p>
        </w:tc>
      </w:tr>
      <w:tr>
        <w:trPr>
          <w:cantSplit/>
        </w:trPr>
        <w:tc>
          <w:tcPr>
            <w:tcW w:type="dxa" w:w="1584"/>
          </w:tcPr>
          <w:p>
            <w:r>
              <w:t>Peer comparison (paragraphs (g) and (h))</w:t>
            </w:r>
          </w:p>
        </w:tc>
        <w:tc>
          <w:tcPr>
            <w:tcW w:type="dxa" w:w="2736"/>
          </w:tcPr>
          <w:p>
            <w:r>
              <w:t>private credit cohort</w:t>
            </w:r>
          </w:p>
        </w:tc>
        <w:tc>
          <w:tcPr>
            <w:tcW w:type="dxa" w:w="1584"/>
          </w:tcPr>
          <w:p>
            <w:r>
              <w:t>peer cohort</w:t>
            </w:r>
          </w:p>
        </w:tc>
        <w:tc>
          <w:tcPr>
            <w:tcW w:type="dxa" w:w="864"/>
          </w:tcPr>
          <w:p>
            <w:r>
              <w:t>not scored</w:t>
            </w:r>
          </w:p>
        </w:tc>
        <w:tc>
          <w:tcPr>
            <w:tcW w:type="dxa" w:w="2592"/>
          </w:tcPr>
          <w:p>
            <w:r>
              <w:t>relative wealth ratio 0.8757, annualized excess return -2.62%/yr (not a public market equivalent), 2021 to 2025</w:t>
            </w:r>
          </w:p>
        </w:tc>
      </w:tr>
      <w:tr>
        <w:trPr>
          <w:cantSplit/>
        </w:trPr>
        <w:tc>
          <w:tcPr>
            <w:tcW w:type="dxa" w:w="1584"/>
          </w:tcPr>
          <w:p>
            <w:r>
              <w:t>rejected</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Tied on score. Ordered by strategy match, then risk and liquidity match, then data held, then name. Score 7 of 10, CDLI selected.</w:t>
            </w:r>
          </w:p>
        </w:tc>
      </w:tr>
      <w:tr>
        <w:trPr>
          <w:cantSplit/>
        </w:trPr>
        <w:tc>
          <w:tcPr>
            <w:tcW w:type="dxa" w:w="1584"/>
          </w:tcPr>
          <w:p>
            <w:r>
              <w:t>rejected</w:t>
            </w:r>
          </w:p>
        </w:tc>
        <w:tc>
          <w:tcPr>
            <w:tcW w:type="dxa" w:w="2736"/>
          </w:tcPr>
          <w:p>
            <w:r>
              <w:t>Credit Suisse Leveraged Loan Index (CSLLI)</w:t>
            </w:r>
          </w:p>
        </w:tc>
        <w:tc>
          <w:tcPr>
            <w:tcW w:type="dxa" w:w="1584"/>
          </w:tcPr>
          <w:p>
            <w:r>
              <w:t>published strategy index</w:t>
            </w:r>
          </w:p>
        </w:tc>
        <w:tc>
          <w:tcPr>
            <w:tcW w:type="dxa" w:w="864"/>
          </w:tcPr>
          <w:p>
            <w:r>
              <w:t>5 of 10</w:t>
            </w:r>
          </w:p>
        </w:tc>
        <w:tc>
          <w:tcPr>
            <w:tcW w:type="dxa" w:w="2592"/>
          </w:tcPr>
          <w:p>
            <w:r>
              <w:t>score 5 of 10 below the threshold 6 of 10</w:t>
            </w:r>
          </w:p>
        </w:tc>
      </w:tr>
      <w:tr>
        <w:trPr>
          <w:cantSplit/>
        </w:trPr>
        <w:tc>
          <w:tcPr>
            <w:tcW w:type="dxa" w:w="1584"/>
          </w:tcPr>
          <w:p>
            <w:r>
              <w:t>rejected</w:t>
            </w:r>
          </w:p>
        </w:tc>
        <w:tc>
          <w:tcPr>
            <w:tcW w:type="dxa" w:w="2736"/>
          </w:tcPr>
          <w:p>
            <w:r>
              <w:t>ICE BofA US High Yield Index</w:t>
            </w:r>
          </w:p>
        </w:tc>
        <w:tc>
          <w:tcPr>
            <w:tcW w:type="dxa" w:w="1584"/>
          </w:tcPr>
          <w:p>
            <w:r>
              <w:t>fund-declared benchmark or SEC-required comparator</w:t>
            </w:r>
          </w:p>
        </w:tc>
        <w:tc>
          <w:tcPr>
            <w:tcW w:type="dxa" w:w="864"/>
          </w:tcPr>
          <w:p>
            <w:r>
              <w:t>5 of 10</w:t>
            </w:r>
          </w:p>
        </w:tc>
        <w:tc>
          <w:tcPr>
            <w:tcW w:type="dxa" w:w="2592"/>
          </w:tcPr>
          <w:p>
            <w:r>
              <w:t>score 5 of 10 below the threshold 6 of 10</w:t>
            </w:r>
          </w:p>
        </w:tc>
      </w:tr>
      <w:tr>
        <w:trPr>
          <w:cantSplit/>
        </w:trPr>
        <w:tc>
          <w:tcPr>
            <w:tcW w:type="dxa" w:w="1584"/>
          </w:tcPr>
          <w:p>
            <w:r>
              <w:t>rejected</w:t>
            </w:r>
          </w:p>
        </w:tc>
        <w:tc>
          <w:tcPr>
            <w:tcW w:type="dxa" w:w="2736"/>
          </w:tcPr>
          <w:p>
            <w:r>
              <w:t>Morningstar LSTA US Leveraged Loan Index</w:t>
            </w:r>
          </w:p>
        </w:tc>
        <w:tc>
          <w:tcPr>
            <w:tcW w:type="dxa" w:w="1584"/>
          </w:tcPr>
          <w:p>
            <w:r>
              <w:t>published strategy index</w:t>
            </w:r>
          </w:p>
        </w:tc>
        <w:tc>
          <w:tcPr>
            <w:tcW w:type="dxa" w:w="864"/>
          </w:tcPr>
          <w:p>
            <w:r>
              <w:t>5 of 10</w:t>
            </w:r>
          </w:p>
        </w:tc>
        <w:tc>
          <w:tcPr>
            <w:tcW w:type="dxa" w:w="2592"/>
          </w:tcPr>
          <w:p>
            <w:r>
              <w:t>score 5 of 10 below the threshold 6 of 10</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Cliffwater Direct Lending Index (CDLI) (score 7 of 10)</w:t>
      </w:r>
    </w:p>
    <w:p>
      <w:r>
        <w:t>Meaningful benchmark by descriptor. No comparison until its series is held. The candidate is selected on its own descriptors. No number is substituted.</w:t>
      </w:r>
    </w:p>
    <w:p>
      <w:r>
        <w:t>Tied on score. Ordered by strategy match, then risk and liquidity match, then data held, then name. Tied with Senior loan investable proxy (BKLN, for Morningstar LSTA class).</w:t>
      </w:r>
    </w:p>
    <w:p>
      <w:r>
        <w:t>Selection recorded 2026-09-04, record 366458d5. Rubric v3.1. The full record hash is 366458d544a1d6cc8f079c59e67a121ed1e7d58b5f1b67a23f8fe18b5cbc5425.</w:t>
      </w:r>
    </w:p>
    <w:p>
      <w:pPr>
        <w:pStyle w:val="ListBullet"/>
      </w:pPr>
      <w:r>
        <w:t>Strategy match 2 of 3: same asset class, different sub-strategy (direct lending vs multi-sector credit)</w:t>
      </w:r>
    </w:p>
    <w:p>
      <w:pPr>
        <w:pStyle w:val="ListBullet"/>
      </w:pPr>
      <w:r>
        <w:t>Risk and liquidity match 3 of 3: appraisal-based index without a dealing mechanism of its own against a periodically dealt NAV fund with every request filled in full per the filings (quarterly dealing at NAV under 5% cap per quarter): the pricing process and the liquidity process both match</w:t>
      </w:r>
    </w:p>
    <w:p>
      <w:pPr>
        <w:pStyle w:val="ListBullet"/>
      </w:pPr>
      <w:r>
        <w:t>Provider independence 2 of 2: provider unaffiliated with the fund (Cliffwater): the registry affiliation map ties it to none of the fund's advisers</w:t>
      </w:r>
    </w:p>
    <w:p>
      <w:pPr>
        <w:pStyle w:val="ListBullet"/>
      </w:pPr>
      <w:r>
        <w:t>Data held 0 of 2: cited, series not in the record: no comparison can be computed yet</w:t>
      </w:r>
    </w:p>
    <w:p>
      <w:pPr>
        <w:pStyle w:val="Heading2"/>
        <w:keepNext/>
      </w:pPr>
      <w:r>
        <w:t>Reference comparison, not the meaningful benchmark: Senior loan investable proxy (BKLN, for Morningstar LSTA class)</w:t>
      </w:r>
    </w:p>
    <w:p>
      <w:r>
        <w:t>Reference comparison on the highest-ranked held public market series: not the meaningful benchmark.</w:t>
      </w:r>
    </w:p>
    <w:p>
      <w:r>
        <w:t>Window 2018-07-18 to 2026-07-17 (clipped: proxy series begins 2018-07-18, proxy series ends 2026-07-17): fund 5.74%/yr (Yahoo adjusted close, approximates NAV total return) vs the public series 4.38%/yr, KS-PME 1.1089, Direct Alpha 1.3%/yr.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1.0667 (97 equal contributions at the window start and each month-end inside it, valued at the window end). The two-point figure is primary.</w:t>
      </w:r>
    </w:p>
    <w:p>
      <w:pPr>
        <w:pStyle w:val="Heading2"/>
        <w:keepNext/>
      </w:pPr>
      <w:r>
        <w:t>Declared benchmark and SEC-required comparators (cell 5.1)</w:t>
      </w:r>
    </w:p>
    <w:p>
      <w:r>
        <w:t>SEC-required comparator: ICE BofA US High Yield Index, cited, not held, scored 5 of 10, below the threshold. The declaration itself earns no points.</w:t>
      </w:r>
    </w:p>
    <w:p>
      <w:r>
        <w:t>No comparison: cited, series not in the record: no comparison computed.</w:t>
      </w:r>
    </w:p>
    <w:p>
      <w:r>
        <w:t>Declared benchmark: none. cell 5.1: documented absence of a self-declared benchmark.</w:t>
      </w:r>
    </w:p>
    <w:p>
      <w:pPr>
        <w:pStyle w:val="Heading2"/>
        <w:keepNext/>
      </w:pPr>
      <w:r>
        <w:t>Peer comparison (paragraphs (g) and (h)): private credit cohort</w:t>
      </w:r>
    </w:p>
    <w:p>
      <w:r>
        <w:t>Peers: Cliffwater Corporate Lending Fund, Blackstone Private Credit Fund, CION Ares Diversified Credit Fund, Blue Owl Credit Income Corp. This is the history of similar investments, not the benchmark, and it is never a public market equivalent.</w:t>
      </w:r>
    </w:p>
    <w:p>
      <w:r>
        <w:t>Window 2021 to 2025 (5 calendar-year periods, n=4 peers in every period): fund 5.88%/yr (Yahoo adjusted close, approximates NAV total return) vs the peer composite 8.73%/yr, relative wealth ratio 0.8757, annualized excess return -2.62%/yr. Not a public market equivalent: the peer composite is appraisal-based, constructed by the evaluator and cannot be bought. Disclosure: ratios on appraisal-lagged NAVs are window-sensitive and can be smoothing-flattered.</w:t>
      </w:r>
    </w:p>
    <w:p>
      <w:r>
        <w:t>Alignment: 5 calendar-year periods with identical start and end dates for every member (2020-12-31 to 2025-12-31), n=4 peers in every period. Member return sources: Cliffwater Corporate Lending Fund: Yahoo adjusted close, approximates NAV total return, Blackstone Private Credit Fund: filed calendar-year returns (December fiscal year), CION Ares Diversified Credit Fund: Yahoo adjusted close, approximates NAV total return, Blue Owl Credit Income Corp.: filed calendar-year returns (December fiscal year).</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PIMCO Flexible Credit Income Fund</w:t>
            </w:r>
          </w:p>
        </w:tc>
        <w:tc>
          <w:tcPr>
            <w:tcW w:type="dxa" w:w="1498"/>
          </w:tcPr>
          <w:p>
            <w:r>
              <w:t>Cliffwater Corporate Lending Fund</w:t>
            </w:r>
          </w:p>
        </w:tc>
        <w:tc>
          <w:tcPr>
            <w:tcW w:type="dxa" w:w="1498"/>
          </w:tcPr>
          <w:p>
            <w:r>
              <w:t>Blackstone Private Credit Fund</w:t>
            </w:r>
          </w:p>
        </w:tc>
        <w:tc>
          <w:tcPr>
            <w:tcW w:type="dxa" w:w="1498"/>
          </w:tcPr>
          <w:p>
            <w:r>
              <w:t>CION Ares Diversified Credit Fund</w:t>
            </w:r>
          </w:p>
        </w:tc>
        <w:tc>
          <w:tcPr>
            <w:tcW w:type="dxa" w:w="1498"/>
          </w:tcPr>
          <w:p>
            <w:r>
              <w:t>Blue Owl Credit Income Corp.</w:t>
            </w:r>
          </w:p>
        </w:tc>
      </w:tr>
      <w:tr>
        <w:trPr>
          <w:cantSplit/>
        </w:trPr>
        <w:tc>
          <w:tcPr>
            <w:tcW w:type="dxa" w:w="1296"/>
          </w:tcPr>
          <w:p>
            <w:r>
              <w:t>2018</w:t>
            </w:r>
          </w:p>
        </w:tc>
        <w:tc>
          <w:tcPr>
            <w:tcW w:type="dxa" w:w="576"/>
          </w:tcPr>
          <w:p>
            <w:r>
              <w:t>2</w:t>
            </w:r>
          </w:p>
        </w:tc>
        <w:tc>
          <w:tcPr>
            <w:tcW w:type="dxa" w:w="1498"/>
          </w:tcPr>
          <w:p>
            <w:r>
              <w:t>2.86%</w:t>
            </w:r>
          </w:p>
        </w:tc>
        <w:tc>
          <w:tcPr>
            <w:tcW w:type="dxa" w:w="1498"/>
          </w:tcPr>
          <w:p>
            <w:r>
              <w:t>n/a</w:t>
            </w:r>
          </w:p>
        </w:tc>
        <w:tc>
          <w:tcPr>
            <w:tcW w:type="dxa" w:w="1498"/>
          </w:tcPr>
          <w:p>
            <w:r>
              <w:t>n/a</w:t>
            </w:r>
          </w:p>
        </w:tc>
        <w:tc>
          <w:tcPr>
            <w:tcW w:type="dxa" w:w="1498"/>
          </w:tcPr>
          <w:p>
            <w:r>
              <w:t>4.45%</w:t>
            </w:r>
          </w:p>
        </w:tc>
        <w:tc>
          <w:tcPr>
            <w:tcW w:type="dxa" w:w="1498"/>
          </w:tcPr>
          <w:p>
            <w:r>
              <w:t>n/a</w:t>
            </w:r>
          </w:p>
        </w:tc>
      </w:tr>
      <w:tr>
        <w:trPr>
          <w:cantSplit/>
        </w:trPr>
        <w:tc>
          <w:tcPr>
            <w:tcW w:type="dxa" w:w="1296"/>
          </w:tcPr>
          <w:p>
            <w:r>
              <w:t>2019</w:t>
            </w:r>
          </w:p>
        </w:tc>
        <w:tc>
          <w:tcPr>
            <w:tcW w:type="dxa" w:w="576"/>
          </w:tcPr>
          <w:p>
            <w:r>
              <w:t>2</w:t>
            </w:r>
          </w:p>
        </w:tc>
        <w:tc>
          <w:tcPr>
            <w:tcW w:type="dxa" w:w="1498"/>
          </w:tcPr>
          <w:p>
            <w:r>
              <w:t>10.63%</w:t>
            </w:r>
          </w:p>
        </w:tc>
        <w:tc>
          <w:tcPr>
            <w:tcW w:type="dxa" w:w="1498"/>
          </w:tcPr>
          <w:p>
            <w:r>
              <w:t>n/a</w:t>
            </w:r>
          </w:p>
        </w:tc>
        <w:tc>
          <w:tcPr>
            <w:tcW w:type="dxa" w:w="1498"/>
          </w:tcPr>
          <w:p>
            <w:r>
              <w:t>n/a</w:t>
            </w:r>
          </w:p>
        </w:tc>
        <w:tc>
          <w:tcPr>
            <w:tcW w:type="dxa" w:w="1498"/>
          </w:tcPr>
          <w:p>
            <w:r>
              <w:t>9.5%</w:t>
            </w:r>
          </w:p>
        </w:tc>
        <w:tc>
          <w:tcPr>
            <w:tcW w:type="dxa" w:w="1498"/>
          </w:tcPr>
          <w:p>
            <w:r>
              <w:t>n/a</w:t>
            </w:r>
          </w:p>
        </w:tc>
      </w:tr>
      <w:tr>
        <w:trPr>
          <w:cantSplit/>
        </w:trPr>
        <w:tc>
          <w:tcPr>
            <w:tcW w:type="dxa" w:w="1296"/>
          </w:tcPr>
          <w:p>
            <w:r>
              <w:t>2020</w:t>
            </w:r>
          </w:p>
        </w:tc>
        <w:tc>
          <w:tcPr>
            <w:tcW w:type="dxa" w:w="576"/>
          </w:tcPr>
          <w:p>
            <w:r>
              <w:t>3</w:t>
            </w:r>
          </w:p>
        </w:tc>
        <w:tc>
          <w:tcPr>
            <w:tcW w:type="dxa" w:w="1498"/>
          </w:tcPr>
          <w:p>
            <w:r>
              <w:t>4.29%</w:t>
            </w:r>
          </w:p>
        </w:tc>
        <w:tc>
          <w:tcPr>
            <w:tcW w:type="dxa" w:w="1498"/>
          </w:tcPr>
          <w:p>
            <w:r>
              <w:t>5.39%</w:t>
            </w:r>
          </w:p>
        </w:tc>
        <w:tc>
          <w:tcPr>
            <w:tcW w:type="dxa" w:w="1498"/>
          </w:tcPr>
          <w:p>
            <w:r>
              <w:t>n/a</w:t>
            </w:r>
          </w:p>
        </w:tc>
        <w:tc>
          <w:tcPr>
            <w:tcW w:type="dxa" w:w="1498"/>
          </w:tcPr>
          <w:p>
            <w:r>
              <w:t>2.79%</w:t>
            </w:r>
          </w:p>
        </w:tc>
        <w:tc>
          <w:tcPr>
            <w:tcW w:type="dxa" w:w="1498"/>
          </w:tcPr>
          <w:p>
            <w:r>
              <w:t>n/a</w:t>
            </w:r>
          </w:p>
        </w:tc>
      </w:tr>
      <w:tr>
        <w:trPr>
          <w:cantSplit/>
        </w:trPr>
        <w:tc>
          <w:tcPr>
            <w:tcW w:type="dxa" w:w="1296"/>
          </w:tcPr>
          <w:p>
            <w:r>
              <w:t>2021</w:t>
            </w:r>
          </w:p>
        </w:tc>
        <w:tc>
          <w:tcPr>
            <w:tcW w:type="dxa" w:w="576"/>
          </w:tcPr>
          <w:p>
            <w:r>
              <w:t>5</w:t>
            </w:r>
          </w:p>
        </w:tc>
        <w:tc>
          <w:tcPr>
            <w:tcW w:type="dxa" w:w="1498"/>
          </w:tcPr>
          <w:p>
            <w:r>
              <w:t>11.29%</w:t>
            </w:r>
          </w:p>
        </w:tc>
        <w:tc>
          <w:tcPr>
            <w:tcW w:type="dxa" w:w="1498"/>
          </w:tcPr>
          <w:p>
            <w:r>
              <w:t>10.38%</w:t>
            </w:r>
          </w:p>
        </w:tc>
        <w:tc>
          <w:tcPr>
            <w:tcW w:type="dxa" w:w="1498"/>
          </w:tcPr>
          <w:p>
            <w:r>
              <w:t>12.6%</w:t>
            </w:r>
          </w:p>
        </w:tc>
        <w:tc>
          <w:tcPr>
            <w:tcW w:type="dxa" w:w="1498"/>
          </w:tcPr>
          <w:p>
            <w:r>
              <w:t>9.21%</w:t>
            </w:r>
          </w:p>
        </w:tc>
        <w:tc>
          <w:tcPr>
            <w:tcW w:type="dxa" w:w="1498"/>
          </w:tcPr>
          <w:p>
            <w:r>
              <w:t>4.3%</w:t>
            </w:r>
          </w:p>
        </w:tc>
      </w:tr>
      <w:tr>
        <w:trPr>
          <w:cantSplit/>
        </w:trPr>
        <w:tc>
          <w:tcPr>
            <w:tcW w:type="dxa" w:w="1296"/>
          </w:tcPr>
          <w:p>
            <w:r>
              <w:t>2022</w:t>
            </w:r>
          </w:p>
        </w:tc>
        <w:tc>
          <w:tcPr>
            <w:tcW w:type="dxa" w:w="576"/>
          </w:tcPr>
          <w:p>
            <w:r>
              <w:t>5</w:t>
            </w:r>
          </w:p>
        </w:tc>
        <w:tc>
          <w:tcPr>
            <w:tcW w:type="dxa" w:w="1498"/>
          </w:tcPr>
          <w:p>
            <w:r>
              <w:t>-15.36%</w:t>
            </w:r>
          </w:p>
        </w:tc>
        <w:tc>
          <w:tcPr>
            <w:tcW w:type="dxa" w:w="1498"/>
          </w:tcPr>
          <w:p>
            <w:r>
              <w:t>2.05%</w:t>
            </w:r>
          </w:p>
        </w:tc>
        <w:tc>
          <w:tcPr>
            <w:tcW w:type="dxa" w:w="1498"/>
          </w:tcPr>
          <w:p>
            <w:r>
              <w:t>3.6%</w:t>
            </w:r>
          </w:p>
        </w:tc>
        <w:tc>
          <w:tcPr>
            <w:tcW w:type="dxa" w:w="1498"/>
          </w:tcPr>
          <w:p>
            <w:r>
              <w:t>-2.85%</w:t>
            </w:r>
          </w:p>
        </w:tc>
        <w:tc>
          <w:tcPr>
            <w:tcW w:type="dxa" w:w="1498"/>
          </w:tcPr>
          <w:p>
            <w:r>
              <w:t>5.2%</w:t>
            </w:r>
          </w:p>
        </w:tc>
      </w:tr>
      <w:tr>
        <w:trPr>
          <w:cantSplit/>
        </w:trPr>
        <w:tc>
          <w:tcPr>
            <w:tcW w:type="dxa" w:w="1296"/>
          </w:tcPr>
          <w:p>
            <w:r>
              <w:t>2023</w:t>
            </w:r>
          </w:p>
        </w:tc>
        <w:tc>
          <w:tcPr>
            <w:tcW w:type="dxa" w:w="576"/>
          </w:tcPr>
          <w:p>
            <w:r>
              <w:t>5</w:t>
            </w:r>
          </w:p>
        </w:tc>
        <w:tc>
          <w:tcPr>
            <w:tcW w:type="dxa" w:w="1498"/>
          </w:tcPr>
          <w:p>
            <w:r>
              <w:t>9.25%</w:t>
            </w:r>
          </w:p>
        </w:tc>
        <w:tc>
          <w:tcPr>
            <w:tcW w:type="dxa" w:w="1498"/>
          </w:tcPr>
          <w:p>
            <w:r>
              <w:t>12.66%</w:t>
            </w:r>
          </w:p>
        </w:tc>
        <w:tc>
          <w:tcPr>
            <w:tcW w:type="dxa" w:w="1498"/>
          </w:tcPr>
          <w:p>
            <w:r>
              <w:t>14.4%</w:t>
            </w:r>
          </w:p>
        </w:tc>
        <w:tc>
          <w:tcPr>
            <w:tcW w:type="dxa" w:w="1498"/>
          </w:tcPr>
          <w:p>
            <w:r>
              <w:t>12.99%</w:t>
            </w:r>
          </w:p>
        </w:tc>
        <w:tc>
          <w:tcPr>
            <w:tcW w:type="dxa" w:w="1498"/>
          </w:tcPr>
          <w:p>
            <w:r>
              <w:t>13.5%</w:t>
            </w:r>
          </w:p>
        </w:tc>
      </w:tr>
      <w:tr>
        <w:trPr>
          <w:cantSplit/>
        </w:trPr>
        <w:tc>
          <w:tcPr>
            <w:tcW w:type="dxa" w:w="1296"/>
          </w:tcPr>
          <w:p>
            <w:r>
              <w:t>2024</w:t>
            </w:r>
          </w:p>
        </w:tc>
        <w:tc>
          <w:tcPr>
            <w:tcW w:type="dxa" w:w="576"/>
          </w:tcPr>
          <w:p>
            <w:r>
              <w:t>5</w:t>
            </w:r>
          </w:p>
        </w:tc>
        <w:tc>
          <w:tcPr>
            <w:tcW w:type="dxa" w:w="1498"/>
          </w:tcPr>
          <w:p>
            <w:r>
              <w:t>15.27%</w:t>
            </w:r>
          </w:p>
        </w:tc>
        <w:tc>
          <w:tcPr>
            <w:tcW w:type="dxa" w:w="1498"/>
          </w:tcPr>
          <w:p>
            <w:r>
              <w:t>12.62%</w:t>
            </w:r>
          </w:p>
        </w:tc>
        <w:tc>
          <w:tcPr>
            <w:tcW w:type="dxa" w:w="1498"/>
          </w:tcPr>
          <w:p>
            <w:r>
              <w:t>11%</w:t>
            </w:r>
          </w:p>
        </w:tc>
        <w:tc>
          <w:tcPr>
            <w:tcW w:type="dxa" w:w="1498"/>
          </w:tcPr>
          <w:p>
            <w:r>
              <w:t>10.39%</w:t>
            </w:r>
          </w:p>
        </w:tc>
        <w:tc>
          <w:tcPr>
            <w:tcW w:type="dxa" w:w="1498"/>
          </w:tcPr>
          <w:p>
            <w:r>
              <w:t>11.5%</w:t>
            </w:r>
          </w:p>
        </w:tc>
      </w:tr>
      <w:tr>
        <w:trPr>
          <w:cantSplit/>
        </w:trPr>
        <w:tc>
          <w:tcPr>
            <w:tcW w:type="dxa" w:w="1296"/>
          </w:tcPr>
          <w:p>
            <w:r>
              <w:t>2025</w:t>
            </w:r>
          </w:p>
        </w:tc>
        <w:tc>
          <w:tcPr>
            <w:tcW w:type="dxa" w:w="576"/>
          </w:tcPr>
          <w:p>
            <w:r>
              <w:t>5</w:t>
            </w:r>
          </w:p>
        </w:tc>
        <w:tc>
          <w:tcPr>
            <w:tcW w:type="dxa" w:w="1498"/>
          </w:tcPr>
          <w:p>
            <w:r>
              <w:t>12.2%</w:t>
            </w:r>
          </w:p>
        </w:tc>
        <w:tc>
          <w:tcPr>
            <w:tcW w:type="dxa" w:w="1498"/>
          </w:tcPr>
          <w:p>
            <w:r>
              <w:t>8.92%</w:t>
            </w:r>
          </w:p>
        </w:tc>
        <w:tc>
          <w:tcPr>
            <w:tcW w:type="dxa" w:w="1498"/>
          </w:tcPr>
          <w:p>
            <w:r>
              <w:t>8%</w:t>
            </w:r>
          </w:p>
        </w:tc>
        <w:tc>
          <w:tcPr>
            <w:tcW w:type="dxa" w:w="1498"/>
          </w:tcPr>
          <w:p>
            <w:r>
              <w:t>7.69%</w:t>
            </w:r>
          </w:p>
        </w:tc>
        <w:tc>
          <w:tcPr>
            <w:tcW w:type="dxa" w:w="1498"/>
          </w:tcPr>
          <w:p>
            <w:r>
              <w:t>7.9%</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(interval fund (Rule 23c-3), non-traded BDC) and 2 leverage regimes (1940-Act asset-coverage limits, BDC 150% asset-coverage regime).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Senior loan investable proxy (BKLN, for Morningstar LSTA class)</w:t>
            </w:r>
          </w:p>
        </w:tc>
        <w:tc>
          <w:tcPr>
            <w:tcW w:type="dxa" w:w="1008"/>
          </w:tcPr>
          <w:p>
            <w:r>
              <w:t>7 of 10</w:t>
            </w:r>
          </w:p>
        </w:tc>
        <w:tc>
          <w:tcPr>
            <w:tcW w:type="dxa" w:w="5472"/>
          </w:tcPr>
          <w:p>
            <w:r>
              <w:t>Tied on score. Ordered by strategy match, then risk and liquidity match, then data held, then name. Score 7 of 10, CDLI selected. Criteria: Strategy match 2 of 3: the public-market version of the asset class (syndicated loans for multi-sector credit),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Morningstar LSTA class): the registry affiliation map ties it to none of the fund's advisers, Data held 2 of 2: daily public market series held (exchange-traded proxy, Yahoo adjusted close).</w:t>
            </w:r>
          </w:p>
        </w:tc>
      </w:tr>
      <w:tr>
        <w:trPr>
          <w:cantSplit/>
        </w:trPr>
        <w:tc>
          <w:tcPr>
            <w:tcW w:type="dxa" w:w="2880"/>
          </w:tcPr>
          <w:p>
            <w:r>
              <w:t>Credit Suisse Leveraged Loan Index (CSLLI)</w:t>
            </w:r>
          </w:p>
        </w:tc>
        <w:tc>
          <w:tcPr>
            <w:tcW w:type="dxa" w:w="1008"/>
          </w:tcPr>
          <w:p>
            <w:r>
              <w:t>5 of 10</w:t>
            </w:r>
          </w:p>
        </w:tc>
        <w:tc>
          <w:tcPr>
            <w:tcW w:type="dxa" w:w="5472"/>
          </w:tcPr>
          <w:p>
            <w:r>
              <w:t>score 5 of 10 below the threshold 6 of 10. Criteria: Strategy match 2 of 3: the public-market version of the asset class (leveraged loans for multi-sector credit),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(Credit Suisse (UBS)): the registry affiliation map ties it to none of the fund's advisers, Data held 0 of 2: cited, series not in the record: no comparison can be computed yet.</w:t>
            </w:r>
          </w:p>
        </w:tc>
      </w:tr>
      <w:tr>
        <w:trPr>
          <w:cantSplit/>
        </w:trPr>
        <w:tc>
          <w:tcPr>
            <w:tcW w:type="dxa" w:w="2880"/>
          </w:tcPr>
          <w:p>
            <w:r>
              <w:t>ICE BofA US High Yield Index</w:t>
            </w:r>
          </w:p>
        </w:tc>
        <w:tc>
          <w:tcPr>
            <w:tcW w:type="dxa" w:w="1008"/>
          </w:tcPr>
          <w:p>
            <w:r>
              <w:t>5 of 10</w:t>
            </w:r>
          </w:p>
        </w:tc>
        <w:tc>
          <w:tcPr>
            <w:tcW w:type="dxa" w:w="5472"/>
          </w:tcPr>
          <w:p>
            <w:r>
              <w:t>score 5 of 10 below the threshold 6 of 10. Criteria: Strategy match 2 of 3: the public-market version of the asset class (high yield for multi-sector credit),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(ICE Data Indices): the registry affiliation map ties it to none of the fund's advisers, Data held 0 of 2: cited, series not in the record: no comparison can be computed yet.</w:t>
            </w:r>
          </w:p>
        </w:tc>
      </w:tr>
      <w:tr>
        <w:trPr>
          <w:cantSplit/>
        </w:trPr>
        <w:tc>
          <w:tcPr>
            <w:tcW w:type="dxa" w:w="2880"/>
          </w:tcPr>
          <w:p>
            <w:r>
              <w:t>Morningstar LSTA US Leveraged Loan Index</w:t>
            </w:r>
          </w:p>
        </w:tc>
        <w:tc>
          <w:tcPr>
            <w:tcW w:type="dxa" w:w="1008"/>
          </w:tcPr>
          <w:p>
            <w:r>
              <w:t>5 of 10</w:t>
            </w:r>
          </w:p>
        </w:tc>
        <w:tc>
          <w:tcPr>
            <w:tcW w:type="dxa" w:w="5472"/>
          </w:tcPr>
          <w:p>
            <w:r>
              <w:t>score 5 of 10 below the threshold 6 of 10. Criteria: Strategy match 2 of 3: the public-market version of the asset class (syndicated loans for multi-sector credit),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(Morningstar / LSTA): the registry affiliation map ties it to none of the fund's advisers, Data held 0 of 2: cited, series not in the record: no comparison can be computed yet.</w:t>
            </w:r>
          </w:p>
        </w:tc>
      </w:tr>
    </w:tbl>
    <w:p>
      <w:pPr>
        <w:pStyle w:val="Heading1"/>
        <w:keepNext/>
      </w:pPr>
      <w:r>
        <w:t>Product-to-plan liquidity match</w:t>
      </w:r>
    </w:p>
    <w:p>
      <w:r>
        <w:t>Plan: US casual-dining restaurant group 401(k) plan (~$1.6B, FL).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CONDITIONAL</w:t>
      </w:r>
    </w:p>
    <w:p>
      <w:pPr>
        <w:pStyle w:val="ListBullet"/>
        <w:keepNex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interval fund (Rule 23c-3)</w:t>
            </w:r>
          </w:p>
        </w:tc>
        <w:tc>
          <w:tcPr>
            <w:tcW w:type="dxa" w:w="1152"/>
          </w:tcPr>
          <w:p>
            <w:r>
              <w:t>6.1</w:t>
            </w:r>
          </w:p>
        </w:tc>
      </w:tr>
      <w:tr>
        <w:trPr>
          <w:cantSplit/>
        </w:trPr>
        <w:tc>
          <w:tcPr>
            <w:tcW w:type="dxa" w:w="2448"/>
          </w:tcPr>
          <w:p>
            <w:r>
              <w:t>Dealing terms</w:t>
            </w:r>
          </w:p>
        </w:tc>
        <w:tc>
          <w:tcPr>
            <w:tcW w:type="dxa" w:w="5760"/>
          </w:tcPr>
          <w:p>
            <w:r>
              <w:t>quarterly offers, 5% cap per quarter on outstanding shares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none identified in the filings on record</w:t>
            </w:r>
          </w:p>
        </w:tc>
        <w:tc>
          <w:tcPr>
            <w:tcW w:type="dxa" w:w="1152"/>
          </w:tcPr>
          <w:p>
            <w:r>
              <w:t>3.3</w:t>
            </w:r>
          </w:p>
        </w:tc>
      </w:tr>
      <w:tr>
        <w:trPr>
          <w:cantSplit/>
        </w:trPr>
        <w:tc>
          <w:tcPr>
            <w:tcW w:type="dxa" w:w="2448"/>
          </w:tcPr>
          <w:p>
            <w:r>
              <w:t>Repurchase program status</w:t>
            </w:r>
          </w:p>
        </w:tc>
        <w:tc>
          <w:tcPr>
            <w:tcW w:type="dxa" w:w="5760"/>
          </w:tcPr>
          <w:p>
            <w:r>
              <w:t>active as of 2025-06-30</w:t>
            </w:r>
          </w:p>
        </w:tc>
        <w:tc>
          <w:tcPr>
            <w:tcW w:type="dxa" w:w="1152"/>
          </w:tcPr>
          <w:p>
            <w:r>
              <w:t>3.1</w:t>
            </w:r>
          </w:p>
        </w:tc>
      </w:tr>
      <w:tr>
        <w:trPr>
          <w:cantSplit/>
        </w:trPr>
        <w:tc>
          <w:tcPr>
            <w:tcW w:type="dxa" w:w="2448"/>
          </w:tcPr>
          <w:p>
            <w:r>
              <w:t>Early repurchase fee</w:t>
            </w:r>
          </w:p>
        </w:tc>
        <w:tc>
          <w:tcPr>
            <w:tcW w:type="dxa" w:w="5760"/>
          </w:tcPr>
          <w:p>
            <w:r>
              <w:t>none at fund level (2.7)</w:t>
            </w:r>
          </w:p>
        </w:tc>
        <w:tc>
          <w:tcPr>
            <w:tcW w:type="dxa" w:w="1152"/>
          </w:tcPr>
          <w:p>
            <w:r>
              <w:t>2.7</w:t>
            </w:r>
          </w:p>
        </w:tc>
      </w:tr>
      <w:tr>
        <w:trPr>
          <w:cantSplit/>
        </w:trPr>
        <w:tc>
          <w:tcPr>
            <w:tcW w:type="dxa" w:w="2448"/>
          </w:tcPr>
          <w:p>
            <w:r>
              <w:t>Fund net assets (for the dollar capacity)</w:t>
            </w:r>
          </w:p>
        </w:tc>
        <w:tc>
          <w:tcPr>
            <w:tcW w:type="dxa" w:w="5760"/>
          </w:tcPr>
          <w:p>
            <w:r>
              <w:t>approx. $3.6B</w:t>
            </w:r>
          </w:p>
        </w:tc>
        <w:tc>
          <w:tcPr>
            <w:tcW w:type="dxa" w:w="1152"/>
          </w:tcPr>
          <w:p>
            <w:r>
              <w:t>3.6</w:t>
            </w:r>
          </w:p>
        </w:tc>
      </w:tr>
    </w:tbl>
    <w:p>
      <w:pPr>
        <w:pStyle w:val="Heading2"/>
        <w:keepNext/>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20%.</w:t>
      </w:r>
    </w:p>
    <w:p>
      <w:r>
        <w:t>Slider assumption (adjustable on the Liquidity view, not a fact): tail turnover 20%/yr, active turnover 5%/yr, 9.2% of the position per year = $7.3M/yr, shown beside the filed rate, not blended with it.</w:t>
      </w:r>
    </w:p>
    <w:p>
      <w:r>
        <w:t>Stressed (the filed outflow proxy plus the increment the stress multiples add under stress (tail turnover x2, active turnover x1.5 over the slider assumption)): demand $14.4M/yr = 18.2% of the position. within wrapper capacity (18.2% vs 20%) IF offers are not prorated.</w:t>
      </w:r>
    </w:p>
    <w:p>
      <w:r>
        <w:t>Fund capacity in dollars: $719.4M per year (20% of approx. $3.6B net assets, cell 3.6). The plan's demand at the filed rate is $8.5M per year, 1.18% of that capacity, a claim shared with every other holder.</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2024-05-01 to 2025-04-30): 10.8%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9.2% of the position per year vs 20% annual wrapper capacity, from tail turnover 20%/yr on the 28.2% of accounts that are separated and active turnover 5%/yr on the rest. Shown beside the filed rate, not blended with it. Within 60% of wrapper capacity at these turnover assumptions.</w:t>
      </w:r>
    </w:p>
    <w:p>
      <w:pPr>
        <w:pStyle w:val="ListBullet"/>
      </w:pPr>
      <w:r>
        <w:t>Fund capacity in dollars: 20% of approx. $3.6B net assets (cell 3.6) is $719.4M per year. At a 5% allocation ($79.3M) the plan's demand at the filed rate is $8.5M per year, 1.18%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No rung fired: the filed outflow proxy 10.8% and the stressed demand 18.2% of the position per year both stay within the annual wrapper capacity 20% (binding cap 5% per quarter on outstanding shares (3.1), quarterly offers (3.1), program active as of 2025-06-30 (3.1), no proration identified (3.3)). Per quarter: filed 2.7% and stressed 4.5%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3.6, cell 3.7, the plan record on file (Form 5500, plan year 2024-05-01 to 2025-04-30).</w:t>
      </w:r>
    </w:p>
    <w:p>
      <w:pPr>
        <w:pStyle w:val="Heading1"/>
        <w:keepNext/>
      </w:pPr>
      <w:r>
        <w:t>Peer cohort placement</w:t>
      </w:r>
    </w:p>
    <w:p>
      <w:r>
        <w:t>Evidence depth tier: COHORT. Cohort: Private credit (interval fund + non-traded BDC) (n=5). Membership rationale: Flexible multi-sector credit in the SAME wrapper as cclfx (interval, quarterly 5%). A wrapper twin with a broader credit mandate (loans, structured, EM). Mandate breadth is the disclosed mismatch.</w:t>
      </w:r>
    </w:p>
    <w:p>
      <w:r>
        <w:t>Cohort placement (private credit cohort): mgmt fee: 90th percentile of cohort (n=5), above the median of 1.25 | expense ratio (bases differ, see notes): 30th percentile of cohort (n=5), below the median of 3.76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Blackstone Private Credit Fund: BDC 150% asset-coverage regime, Blue Owl Credit Income Corp.: BDC 150% asset-coverage regime, CION Ares Diversified Credit Fund: 1940-Act asset-coverage limits, Cliffwater Corporate Lending Fund: 1940-Act asset-coverage limits, PIMCO Flexible Credit Income Fund: 1940-Act asset-coverage limits]</w:t>
      </w:r>
    </w:p>
    <w:p>
      <w:pPr>
        <w:pStyle w:val="ListBullet"/>
      </w:pPr>
      <w:r>
        <w:t>Caveat: LIQUIDITY-LAW MIX: Rule 23c-3 obligations, discretionary tenders, and repurchase plans give different worst-case exit rights. Cadence numbers alone overstate comparability. [by wrapper type: Blackstone Private Credit Fund: board-discretionary share repurchases, Blue Owl Credit Income Corp.: board-discretionary share repurchases, CION Ares Diversified Credit Fund: Rule 23c-3 OBLIGATION (board cannot skip a window), Cliffwater Corporate Lending Fund: Rule 23c-3 OBLIGATION (board cannot skip a window), PIMCO Flexible Credit Income Fund: Rule 23c-3 OBLIGATION (board cannot skip a window)]</w:t>
      </w:r>
    </w:p>
    <w:p>
      <w:pPr>
        <w:pStyle w:val="ListBullet"/>
      </w:pPr>
      <w:r>
        <w:t>Caveat: NAV-CADENCE MIX: daily, monthly, and quarterly NAV processes embed different appraisal smoothing. Volatility and drawdown comparisons inherit that difference (see de-smoothing lab). [per product from the record: Blackstone Private Credit Fund: monthly, Blue Owl Credit Income Corp.: quarterly, CION Ares Diversified Credit Fund: daily, Cliffwater Corporate Lending Fund: daily, PIMCO Flexible Credit Income Fund: daily]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27, verified 0, computed 14, partial 2, fetched 1, n/a 11, pending 0. 41 of 44 resolved: 27 evidenced, 14 computed, 3 partial, 11 n/a, 0 verified by a person.</w:t>
      </w:r>
    </w:p>
    <w:p>
      <w:r>
        <w:t>Of the 41 resolved cells (structured, extracted-unverified, verified and computed), 41 carry a source document, 41 a section, 27 a verbatim quote (computed cells carry their computation and inputs instead of a quote) and 41 an extractor. 3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 2024-10-07</w:t>
            </w:r>
          </w:p>
        </w:tc>
        <w:tc>
          <w:tcPr>
            <w:tcW w:type="dxa" w:w="4896"/>
          </w:tcPr>
          <w:p>
            <w:r>
              <w:t>accession 0001193125-24-233507</w:t>
            </w:r>
          </w:p>
          <w:p>
            <w:r>
              <w:t>https://www.sec.gov/Archives/edgar/data/1688554/000119312524233507/d793301dn23c3a.htm</w:t>
            </w:r>
          </w:p>
        </w:tc>
        <w:tc>
          <w:tcPr>
            <w:tcW w:type="dxa" w:w="2592"/>
          </w:tcPr>
          <w:p>
            <w:r>
              <w:t>4.6 (cited as all filings held for the product, 11 held)</w:t>
            </w:r>
          </w:p>
        </w:tc>
      </w:tr>
      <w:tr>
        <w:trPr>
          <w:cantSplit/>
        </w:trPr>
        <w:tc>
          <w:tcPr>
            <w:tcW w:type="dxa" w:w="1872"/>
          </w:tcPr>
          <w:p>
            <w:r>
              <w:t>N-23C3A 2024-10-07</w:t>
            </w:r>
          </w:p>
        </w:tc>
        <w:tc>
          <w:tcPr>
            <w:tcW w:type="dxa" w:w="4896"/>
          </w:tcPr>
          <w:p>
            <w:r>
              <w:t>accession 0001193125-24-233507</w:t>
            </w:r>
          </w:p>
          <w:p>
            <w:r>
              <w:t>https://www.sec.gov/Archives/edgar/data/1688554/000119312524233507/d793301dn23c3a.htm</w:t>
            </w:r>
          </w:p>
        </w:tc>
        <w:tc>
          <w:tcPr>
            <w:tcW w:type="dxa" w:w="2592"/>
          </w:tcPr>
          <w:p>
            <w:r>
              <w:t>3.3 (8 N-23C3A filings held between 2024-10-07 and 2026-07-02)</w:t>
            </w:r>
          </w:p>
        </w:tc>
      </w:tr>
      <w:tr>
        <w:trPr>
          <w:cantSplit/>
        </w:trPr>
        <w:tc>
          <w:tcPr>
            <w:tcW w:type="dxa" w:w="1872"/>
          </w:tcPr>
          <w:p>
            <w:r>
              <w:t>* 2025-01-06</w:t>
            </w:r>
          </w:p>
        </w:tc>
        <w:tc>
          <w:tcPr>
            <w:tcW w:type="dxa" w:w="4896"/>
          </w:tcPr>
          <w:p>
            <w:r>
              <w:t>accession 0001193125-25-002003</w:t>
            </w:r>
          </w:p>
          <w:p>
            <w:r>
              <w:t>https://www.sec.gov/Archives/edgar/data/1688554/000119312525002003/d904096dn23c3a.htm</w:t>
            </w:r>
          </w:p>
        </w:tc>
        <w:tc>
          <w:tcPr>
            <w:tcW w:type="dxa" w:w="2592"/>
          </w:tcPr>
          <w:p>
            <w:r>
              <w:t>4.6 (cited as all filings held for the product, 11 held)</w:t>
            </w:r>
          </w:p>
        </w:tc>
      </w:tr>
      <w:tr>
        <w:trPr>
          <w:cantSplit/>
        </w:trPr>
        <w:tc>
          <w:tcPr>
            <w:tcW w:type="dxa" w:w="1872"/>
          </w:tcPr>
          <w:p>
            <w:r>
              <w:t>N-23C3A 2025-01-06</w:t>
            </w:r>
          </w:p>
        </w:tc>
        <w:tc>
          <w:tcPr>
            <w:tcW w:type="dxa" w:w="4896"/>
          </w:tcPr>
          <w:p>
            <w:r>
              <w:t>accession 0001193125-25-002003</w:t>
            </w:r>
          </w:p>
          <w:p>
            <w:r>
              <w:t>https://www.sec.gov/Archives/edgar/data/1688554/000119312525002003/d904096dn23c3a.htm</w:t>
            </w:r>
          </w:p>
        </w:tc>
        <w:tc>
          <w:tcPr>
            <w:tcW w:type="dxa" w:w="2592"/>
          </w:tcPr>
          <w:p>
            <w:r>
              <w:t>3.3 (8 N-23C3A filings held between 2024-10-07 and 2026-07-02)</w:t>
            </w:r>
          </w:p>
        </w:tc>
      </w:tr>
      <w:tr>
        <w:trPr>
          <w:cantSplit/>
        </w:trPr>
        <w:tc>
          <w:tcPr>
            <w:tcW w:type="dxa" w:w="1872"/>
          </w:tcPr>
          <w:p>
            <w:r>
              <w:t>* 2025-04-04</w:t>
            </w:r>
          </w:p>
        </w:tc>
        <w:tc>
          <w:tcPr>
            <w:tcW w:type="dxa" w:w="4896"/>
          </w:tcPr>
          <w:p>
            <w:r>
              <w:t>accession 0001193125-25-073516</w:t>
            </w:r>
          </w:p>
          <w:p>
            <w:r>
              <w:t>https://www.sec.gov/Archives/edgar/data/1688554/000119312525073516/d943731d424b3.htm</w:t>
            </w:r>
          </w:p>
        </w:tc>
        <w:tc>
          <w:tcPr>
            <w:tcW w:type="dxa" w:w="2592"/>
          </w:tcPr>
          <w:p>
            <w:r>
              <w:t>4.6 (cited as all filings held for the product, 11 held)</w:t>
            </w:r>
          </w:p>
        </w:tc>
      </w:tr>
      <w:tr>
        <w:trPr>
          <w:cantSplit/>
        </w:trPr>
        <w:tc>
          <w:tcPr>
            <w:tcW w:type="dxa" w:w="1872"/>
          </w:tcPr>
          <w:p>
            <w:r>
              <w:t>* 2025-04-07</w:t>
            </w:r>
          </w:p>
        </w:tc>
        <w:tc>
          <w:tcPr>
            <w:tcW w:type="dxa" w:w="4896"/>
          </w:tcPr>
          <w:p>
            <w:r>
              <w:t>accession 0001193125-25-074359</w:t>
            </w:r>
          </w:p>
          <w:p>
            <w:r>
              <w:t>https://www.sec.gov/Archives/edgar/data/1688554/000119312525074359/d946382dn23c3a.htm</w:t>
            </w:r>
          </w:p>
        </w:tc>
        <w:tc>
          <w:tcPr>
            <w:tcW w:type="dxa" w:w="2592"/>
          </w:tcPr>
          <w:p>
            <w:r>
              <w:t>4.6 (cited as all filings held for the product, 11 held)</w:t>
            </w:r>
          </w:p>
        </w:tc>
      </w:tr>
      <w:tr>
        <w:trPr>
          <w:cantSplit/>
        </w:trPr>
        <w:tc>
          <w:tcPr>
            <w:tcW w:type="dxa" w:w="1872"/>
          </w:tcPr>
          <w:p>
            <w:r>
              <w:t>N-23C3A 2025-04-07</w:t>
            </w:r>
          </w:p>
        </w:tc>
        <w:tc>
          <w:tcPr>
            <w:tcW w:type="dxa" w:w="4896"/>
          </w:tcPr>
          <w:p>
            <w:r>
              <w:t>accession 0001193125-25-074359</w:t>
            </w:r>
          </w:p>
          <w:p>
            <w:r>
              <w:t>https://www.sec.gov/Archives/edgar/data/1688554/000119312525074359/d946382dn23c3a.htm</w:t>
            </w:r>
          </w:p>
        </w:tc>
        <w:tc>
          <w:tcPr>
            <w:tcW w:type="dxa" w:w="2592"/>
          </w:tcPr>
          <w:p>
            <w:r>
              <w:t>3.3 (8 N-23C3A filings held between 2024-10-07 and 2026-07-02)</w:t>
            </w:r>
          </w:p>
        </w:tc>
      </w:tr>
      <w:tr>
        <w:trPr>
          <w:cantSplit/>
        </w:trPr>
        <w:tc>
          <w:tcPr>
            <w:tcW w:type="dxa" w:w="1872"/>
          </w:tcPr>
          <w:p>
            <w:r>
              <w:t>* 2025-07-07</w:t>
            </w:r>
          </w:p>
        </w:tc>
        <w:tc>
          <w:tcPr>
            <w:tcW w:type="dxa" w:w="4896"/>
          </w:tcPr>
          <w:p>
            <w:r>
              <w:t>accession 0001193125-25-156047</w:t>
            </w:r>
          </w:p>
          <w:p>
            <w:r>
              <w:t>https://www.sec.gov/Archives/edgar/data/1688554/000119312525156047/d51930dn23c3a.htm</w:t>
            </w:r>
          </w:p>
        </w:tc>
        <w:tc>
          <w:tcPr>
            <w:tcW w:type="dxa" w:w="2592"/>
          </w:tcPr>
          <w:p>
            <w:r>
              <w:t>4.6 (cited as all filings held for the product, 11 held)</w:t>
            </w:r>
          </w:p>
        </w:tc>
      </w:tr>
      <w:tr>
        <w:trPr>
          <w:cantSplit/>
        </w:trPr>
        <w:tc>
          <w:tcPr>
            <w:tcW w:type="dxa" w:w="1872"/>
          </w:tcPr>
          <w:p>
            <w:r>
              <w:t>N-23C3A 2025-07-07</w:t>
            </w:r>
          </w:p>
        </w:tc>
        <w:tc>
          <w:tcPr>
            <w:tcW w:type="dxa" w:w="4896"/>
          </w:tcPr>
          <w:p>
            <w:r>
              <w:t>accession 0001193125-25-156047</w:t>
            </w:r>
          </w:p>
          <w:p>
            <w:r>
              <w:t>https://www.sec.gov/Archives/edgar/data/1688554/000119312525156047/d51930dn23c3a.htm</w:t>
            </w:r>
          </w:p>
        </w:tc>
        <w:tc>
          <w:tcPr>
            <w:tcW w:type="dxa" w:w="2592"/>
          </w:tcPr>
          <w:p>
            <w:r>
              <w:t>3.3 (8 N-23C3A filings held between 2024-10-07 and 2026-07-02)</w:t>
            </w:r>
          </w:p>
        </w:tc>
      </w:tr>
      <w:tr>
        <w:trPr>
          <w:cantSplit/>
        </w:trPr>
        <w:tc>
          <w:tcPr>
            <w:tcW w:type="dxa" w:w="1872"/>
          </w:tcPr>
          <w:p>
            <w:r>
              <w:t>* 2025-09-05</w:t>
            </w:r>
          </w:p>
        </w:tc>
        <w:tc>
          <w:tcPr>
            <w:tcW w:type="dxa" w:w="4896"/>
          </w:tcPr>
          <w:p>
            <w:r>
              <w:t>accession 0001193125-25-196888</w:t>
            </w:r>
          </w:p>
          <w:p>
            <w:r>
              <w:t>https://www.sec.gov/Archives/edgar/data/1688554/000119312525196888/d96151dncsr.htm</w:t>
            </w:r>
          </w:p>
        </w:tc>
        <w:tc>
          <w:tcPr>
            <w:tcW w:type="dxa" w:w="2592"/>
          </w:tcPr>
          <w:p>
            <w:r>
              <w:t>4.6 (cited as all filings held for the product, 11 held)</w:t>
            </w:r>
          </w:p>
        </w:tc>
      </w:tr>
      <w:tr>
        <w:trPr>
          <w:cantSplit/>
        </w:trPr>
        <w:tc>
          <w:tcPr>
            <w:tcW w:type="dxa" w:w="1872"/>
          </w:tcPr>
          <w:p>
            <w:r>
              <w:t>N-CSR 2025-09-05</w:t>
            </w:r>
          </w:p>
        </w:tc>
        <w:tc>
          <w:tcPr>
            <w:tcW w:type="dxa" w:w="4896"/>
          </w:tcPr>
          <w:p>
            <w:r>
              <w:t>accession 0001193125-25-196888</w:t>
            </w:r>
          </w:p>
          <w:p>
            <w:r>
              <w:t>https://www.sec.gov/Archives/edgar/data/1688554/000119312525196888/d96151dncsr.htm</w:t>
            </w:r>
          </w:p>
        </w:tc>
        <w:tc>
          <w:tcPr>
            <w:tcW w:type="dxa" w:w="2592"/>
          </w:tcPr>
          <w:p>
            <w:r>
              <w:t>1.1, 1.2, 1.3, 1.4, 1.11, 2.1, 2.2 (matched by form only), 2.3 (matched by form only), 2.6 (matched by form only), 3.3, 3.4, 3.6 (matched by form only), 4.1, 4.2, 4.3, 4.4, 4.5, 4.6, 5.1, 6.1, 6.2, 6.3, 6.4</w:t>
            </w:r>
          </w:p>
        </w:tc>
      </w:tr>
      <w:tr>
        <w:trPr>
          <w:cantSplit/>
        </w:trPr>
        <w:tc>
          <w:tcPr>
            <w:tcW w:type="dxa" w:w="1872"/>
          </w:tcPr>
          <w:p>
            <w:r>
              <w:t>* 2025-10-06</w:t>
            </w:r>
          </w:p>
        </w:tc>
        <w:tc>
          <w:tcPr>
            <w:tcW w:type="dxa" w:w="4896"/>
          </w:tcPr>
          <w:p>
            <w:r>
              <w:t>accession 0001193125-25-231398</w:t>
            </w:r>
          </w:p>
          <w:p>
            <w:r>
              <w:t>https://www.sec.gov/Archives/edgar/data/1688554/000119312525231398/d22052dn23c3a.htm</w:t>
            </w:r>
          </w:p>
        </w:tc>
        <w:tc>
          <w:tcPr>
            <w:tcW w:type="dxa" w:w="2592"/>
          </w:tcPr>
          <w:p>
            <w:r>
              <w:t>4.6 (cited as all filings held for the product, 11 held)</w:t>
            </w:r>
          </w:p>
        </w:tc>
      </w:tr>
      <w:tr>
        <w:trPr>
          <w:cantSplit/>
        </w:trPr>
        <w:tc>
          <w:tcPr>
            <w:tcW w:type="dxa" w:w="1872"/>
          </w:tcPr>
          <w:p>
            <w:r>
              <w:t>N-23C3A 2025-10-06</w:t>
            </w:r>
          </w:p>
        </w:tc>
        <w:tc>
          <w:tcPr>
            <w:tcW w:type="dxa" w:w="4896"/>
          </w:tcPr>
          <w:p>
            <w:r>
              <w:t>accession 0001193125-25-231398</w:t>
            </w:r>
          </w:p>
          <w:p>
            <w:r>
              <w:t>https://www.sec.gov/Archives/edgar/data/1688554/000119312525231398/d22052dn23c3a.htm</w:t>
            </w:r>
          </w:p>
        </w:tc>
        <w:tc>
          <w:tcPr>
            <w:tcW w:type="dxa" w:w="2592"/>
          </w:tcPr>
          <w:p>
            <w:r>
              <w:t>3.3 (8 N-23C3A filings held between 2024-10-07 and 2026-07-02)</w:t>
            </w:r>
          </w:p>
        </w:tc>
      </w:tr>
      <w:tr>
        <w:trPr>
          <w:cantSplit/>
        </w:trPr>
        <w:tc>
          <w:tcPr>
            <w:tcW w:type="dxa" w:w="1872"/>
          </w:tcPr>
          <w:p>
            <w:r>
              <w:t>* 2025-10-24</w:t>
            </w:r>
          </w:p>
        </w:tc>
        <w:tc>
          <w:tcPr>
            <w:tcW w:type="dxa" w:w="4896"/>
          </w:tcPr>
          <w:p>
            <w:r>
              <w:t>accession 0001193125-25-249009</w:t>
            </w:r>
          </w:p>
          <w:p>
            <w:r>
              <w:t>https://www.sec.gov/Archives/edgar/data/1688554/000119312525249009/d61964d486bpos.htm</w:t>
            </w:r>
          </w:p>
        </w:tc>
        <w:tc>
          <w:tcPr>
            <w:tcW w:type="dxa" w:w="2592"/>
          </w:tcPr>
          <w:p>
            <w:r>
              <w:t>4.6 (cited as all filings held for the product, 11 held)</w:t>
            </w:r>
          </w:p>
        </w:tc>
      </w:tr>
      <w:tr>
        <w:trPr>
          <w:cantSplit/>
        </w:trPr>
        <w:tc>
          <w:tcPr>
            <w:tcW w:type="dxa" w:w="1872"/>
          </w:tcPr>
          <w:p>
            <w:r>
              <w:t>486BPOS 2025-10-24</w:t>
            </w:r>
          </w:p>
        </w:tc>
        <w:tc>
          <w:tcPr>
            <w:tcW w:type="dxa" w:w="4896"/>
          </w:tcPr>
          <w:p>
            <w:r>
              <w:t>accession 0001193125-25-249009</w:t>
            </w:r>
          </w:p>
          <w:p>
            <w:r>
              <w:t>https://www.sec.gov/Archives/edgar/data/1688554/000119312525249009/d61964d486bpos.htm</w:t>
            </w:r>
          </w:p>
        </w:tc>
        <w:tc>
          <w:tcPr>
            <w:tcW w:type="dxa" w:w="2592"/>
          </w:tcPr>
          <w:p>
            <w:r>
              <w:t>1.4, 2.2, 2.3, 2.4, 2.6, 2.7, 3.1, 3.6, 6.5</w:t>
            </w:r>
          </w:p>
        </w:tc>
      </w:tr>
      <w:tr>
        <w:trPr>
          <w:cantSplit/>
        </w:trPr>
        <w:tc>
          <w:tcPr>
            <w:tcW w:type="dxa" w:w="1872"/>
          </w:tcPr>
          <w:p>
            <w:r>
              <w:t>* 2026-01-02</w:t>
            </w:r>
          </w:p>
        </w:tc>
        <w:tc>
          <w:tcPr>
            <w:tcW w:type="dxa" w:w="4896"/>
          </w:tcPr>
          <w:p>
            <w:r>
              <w:t>accession 0001193125-26-000731</w:t>
            </w:r>
          </w:p>
          <w:p>
            <w:r>
              <w:t>https://www.sec.gov/Archives/edgar/data/1688554/000119312526000731/d31868dn23c3a.htm</w:t>
            </w:r>
          </w:p>
        </w:tc>
        <w:tc>
          <w:tcPr>
            <w:tcW w:type="dxa" w:w="2592"/>
          </w:tcPr>
          <w:p>
            <w:r>
              <w:t>4.6 (cited as all filings held for the product, 11 held)</w:t>
            </w:r>
          </w:p>
        </w:tc>
      </w:tr>
      <w:tr>
        <w:trPr>
          <w:cantSplit/>
        </w:trPr>
        <w:tc>
          <w:tcPr>
            <w:tcW w:type="dxa" w:w="1872"/>
          </w:tcPr>
          <w:p>
            <w:r>
              <w:t>N-23C3A 2026-01-02</w:t>
            </w:r>
          </w:p>
        </w:tc>
        <w:tc>
          <w:tcPr>
            <w:tcW w:type="dxa" w:w="4896"/>
          </w:tcPr>
          <w:p>
            <w:r>
              <w:t>accession 0001193125-26-000731</w:t>
            </w:r>
          </w:p>
          <w:p>
            <w:r>
              <w:t>https://www.sec.gov/Archives/edgar/data/1688554/000119312526000731/d31868dn23c3a.htm</w:t>
            </w:r>
          </w:p>
        </w:tc>
        <w:tc>
          <w:tcPr>
            <w:tcW w:type="dxa" w:w="2592"/>
          </w:tcPr>
          <w:p>
            <w:r>
              <w:t>3.3 (8 N-23C3A filings held between 2024-10-07 and 2026-07-02)</w:t>
            </w:r>
          </w:p>
        </w:tc>
      </w:tr>
      <w:tr>
        <w:trPr>
          <w:cantSplit/>
        </w:trPr>
        <w:tc>
          <w:tcPr>
            <w:tcW w:type="dxa" w:w="1872"/>
          </w:tcPr>
          <w:p>
            <w:r>
              <w:t>* 2026-04-01</w:t>
            </w:r>
          </w:p>
        </w:tc>
        <w:tc>
          <w:tcPr>
            <w:tcW w:type="dxa" w:w="4896"/>
          </w:tcPr>
          <w:p>
            <w:r>
              <w:t>accession 0001193125-26-136758</w:t>
            </w:r>
          </w:p>
          <w:p>
            <w:r>
              <w:t>https://www.sec.gov/Archives/edgar/data/1688554/000119312526136758/d144175dn23c3a.htm</w:t>
            </w:r>
          </w:p>
        </w:tc>
        <w:tc>
          <w:tcPr>
            <w:tcW w:type="dxa" w:w="2592"/>
          </w:tcPr>
          <w:p>
            <w:r>
              <w:t>4.6 (cited as all filings held for the product, 11 held)</w:t>
            </w:r>
          </w:p>
        </w:tc>
      </w:tr>
      <w:tr>
        <w:trPr>
          <w:cantSplit/>
        </w:trPr>
        <w:tc>
          <w:tcPr>
            <w:tcW w:type="dxa" w:w="1872"/>
          </w:tcPr>
          <w:p>
            <w:r>
              <w:t>N-23C3A 2026-04-01</w:t>
            </w:r>
          </w:p>
        </w:tc>
        <w:tc>
          <w:tcPr>
            <w:tcW w:type="dxa" w:w="4896"/>
          </w:tcPr>
          <w:p>
            <w:r>
              <w:t>accession 0001193125-26-136758</w:t>
            </w:r>
          </w:p>
          <w:p>
            <w:r>
              <w:t>https://www.sec.gov/Archives/edgar/data/1688554/000119312526136758/d144175dn23c3a.htm</w:t>
            </w:r>
          </w:p>
        </w:tc>
        <w:tc>
          <w:tcPr>
            <w:tcW w:type="dxa" w:w="2592"/>
          </w:tcPr>
          <w:p>
            <w:r>
              <w:t>3.3 (8 N-23C3A filings held between 2024-10-07 and 2026-07-02)</w:t>
            </w:r>
          </w:p>
        </w:tc>
      </w:tr>
      <w:tr>
        <w:trPr>
          <w:cantSplit/>
        </w:trPr>
        <w:tc>
          <w:tcPr>
            <w:tcW w:type="dxa" w:w="1872"/>
          </w:tcPr>
          <w:p>
            <w:r>
              <w:t>* 2026-07-02</w:t>
            </w:r>
          </w:p>
        </w:tc>
        <w:tc>
          <w:tcPr>
            <w:tcW w:type="dxa" w:w="4896"/>
          </w:tcPr>
          <w:p>
            <w:r>
              <w:t>accession 0001193125-26-293846</w:t>
            </w:r>
          </w:p>
          <w:p>
            <w:r>
              <w:t>https://www.sec.gov/Archives/edgar/data/1688554/000119312526293846/d82304dn23c3a.htm</w:t>
            </w:r>
          </w:p>
        </w:tc>
        <w:tc>
          <w:tcPr>
            <w:tcW w:type="dxa" w:w="2592"/>
          </w:tcPr>
          <w:p>
            <w:r>
              <w:t>4.6 (cited as all filings held for the product, 11 held)</w:t>
            </w:r>
          </w:p>
        </w:tc>
      </w:tr>
      <w:tr>
        <w:trPr>
          <w:cantSplit/>
        </w:trPr>
        <w:tc>
          <w:tcPr>
            <w:tcW w:type="dxa" w:w="1872"/>
          </w:tcPr>
          <w:p>
            <w:r>
              <w:t>N-23C3A 2026-07-02</w:t>
            </w:r>
          </w:p>
        </w:tc>
        <w:tc>
          <w:tcPr>
            <w:tcW w:type="dxa" w:w="4896"/>
          </w:tcPr>
          <w:p>
            <w:r>
              <w:t>accession 0001193125-26-293846</w:t>
            </w:r>
          </w:p>
          <w:p>
            <w:r>
              <w:t>https://www.sec.gov/Archives/edgar/data/1688554/000119312526293846/d82304dn23c3a.htm</w:t>
            </w:r>
          </w:p>
        </w:tc>
        <w:tc>
          <w:tcPr>
            <w:tcW w:type="dxa" w:w="2592"/>
          </w:tcPr>
          <w:p>
            <w:r>
              <w:t>3.2, 3.3 (8 N-23C3A filings held between 2024-10-07 and 2026-07-02)</w:t>
            </w:r>
          </w:p>
        </w:tc>
      </w:tr>
    </w:tbl>
    <w:p>
      <w:pPr>
        <w:keepNext/>
      </w:pPr>
      <w:r>
        <w:t>Cells whose reference does not resolve to a manifest row:</w:t>
      </w:r>
    </w:p>
    <w:p>
      <w:pPr>
        <w:pStyle w:val="ListBullet"/>
      </w:pPr>
      <w:r>
        <w:t>1.6: accession not on record: no filing reference in the source field</w:t>
      </w:r>
    </w:p>
    <w:p>
      <w:pPr>
        <w:pStyle w:val="ListBullet"/>
      </w:pPr>
      <w:r>
        <w:t>1.7: accession not on record: no filing reference in the source field</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4.8: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2024-05-01 to 2025-04-30, shown under the plan's anonymized label.</w:t>
      </w:r>
    </w:p>
    <w:p>
      <w:r>
        <w:t>Data sources: SEC EDGAR filings (11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casual-dining restaurant group 401(k) plan (~$1.6B, FL). PIMCO Flexible Credit Income Fund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PIMCO Flexible Credit Income Fund for US casual-dining restaurant group 401(k) plan (~$1.6B, FL)</dc:title>
  <dc:subject>Fiduciary Duties in Selecting Designated Investment Alternatives, 91 FR 16088 (Mar. 31, 2026), RIN 1210-AC38, proposed 29 CFR 2550.404a-6, paragraphs (g) to (l)</dc:subject>
  <dc:creator>Tark</dc:creator>
  <cp:keywords>pflex, plan_restaurant_hourly,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