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Investment Selection Record</w:t>
      </w:r>
    </w:p>
    <w:p>
      <w:r>
        <w:rPr>
          <w:b/>
        </w:rPr>
        <w:t>Plan: US media/technology company 401(k) plan (~$570M, New York)</w:t>
      </w:r>
      <w:r>
        <w:t xml:space="preserve">. Product: Destiny Tech100 Inc (listed closed-end fund (NYSE: DXYZ), CIK 1843974). </w:t>
      </w:r>
      <w:r>
        <w:t>Date: 2026-09-04. Status: DRAFT until the committee signs page one. Cells marked extracted-unverified pend independent verification.</w:t>
      </w:r>
    </w:p>
    <w:p>
      <w:pPr>
        <w:pStyle w:val="Heading1"/>
        <w:keepNext/>
      </w:pPr>
      <w:r>
        <w:t>Decision summary</w:t>
      </w:r>
    </w:p>
    <w:p>
      <w:r>
        <w:t>Structural liquidity verdict: ALIGNED-MECHANICAL (dealing terms on record, plan-independent). Scenario verdict under US media/technology company 401(k) plan (~$570M, New York) (ILLUSTRATIVE): ALIGNED-MECHANICAL.</w:t>
      </w:r>
    </w:p>
    <w:p>
      <w:r>
        <w:t>Benchmark: escalated. NO MEANINGFUL BENCHMARK CONSTRUCTIBLE for this pre-IPO and venture fund: its price is premium-driven and decoupled from NAV, so every candidate benchmarks the premium, not the portfolio. Required next: a NAV series from the filings and a premium to NAV decomposition before any comparator is defensible.</w:t>
      </w:r>
    </w:p>
    <w:p>
      <w:r>
        <w:t>Peer comparison (paragraphs (g) and (h)): composite refused, fewer than 3 peers remain after leaving Destiny Tech100 Inc out (2: Neostellar Capital Corp., ARK Venture Fund).</w:t>
      </w:r>
    </w:p>
    <w:p>
      <w:r>
        <w:t>Evidence coverage: 38 of 42 resolved: 24 evidenced, 14 computed, 4 partial, 13 n/a, 0 verified by a person. Verified by a person: 0. Advisor-stated inputs for this plan: 0 of 6.</w:t>
      </w:r>
    </w:p>
    <w:p>
      <w:pPr>
        <w:pStyle w:val="Heading2"/>
        <w:keepNext/>
      </w:pPr>
      <w:r>
        <w:t>Recommendation</w:t>
      </w:r>
    </w:p>
    <w:p>
      <w:pPr>
        <w:keepNext/>
      </w:pPr>
      <w:r>
        <w:t>Flags raised by the record (each restates a recorded value or verdict already in the record, with its source):</w:t>
      </w:r>
    </w:p>
    <w:p>
      <w:pPr>
        <w:pStyle w:val="ListBullet"/>
      </w:pPr>
      <w:r>
        <w:t>Benchmark: NO MEANINGFUL BENCHMARK CONSTRUCTIBLE for this pre-IPO and venture fund: its price is premium-driven and decoupled from NAV, so every candidate benchmarks the premium, not the portfolio. Required next: a NAV series from the filings and a premium to NAV decomposition before any comparator is defensible. (benchmark selection)</w:t>
      </w:r>
    </w:p>
    <w:p>
      <w:pPr>
        <w:pStyle w:val="ListBullet"/>
      </w:pPr>
      <w:r>
        <w:t>Peer comparison: composite refused, fewer than 3 peers remain after leaving Destiny Tech100 Inc out (2: Neostellar Capital Corp., ARK Venture Fund) (cell 1.12)</w:t>
      </w:r>
    </w:p>
    <w:p>
      <w:r>
        <w:t>This record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(not applicable: CIT only), 3.5 TDF/CIT liquidity sleeve (not applicable: CIT only), 4.9 CIT unit valuation (not applicable: CIT only).</w:t>
      </w:r>
    </w:p>
    <w:p>
      <w:pPr>
        <w:pStyle w:val="Heading2"/>
        <w:keepNext/>
      </w:pPr>
      <w:r>
        <w:t>Committee action and signatures</w:t>
      </w:r>
    </w:p>
    <w:p>
      <w:pPr>
        <w:keepNext/>
      </w:pPr>
      <w:r>
        <w:t>The committee records its action on this product for this plan and signs below. A signature adopts the record as read, it does not verify a cell: verification is the separate signed act on the evidence ledger.</w:t>
      </w:r>
    </w:p>
    <w:tbl>
      <w:tblPr>
        <w:tblStyle w:val="TableGrid"/>
        <w:tblW w:type="dxa" w:w="9360"/>
        <w:tblLayout w:type="fixed"/>
        <w:tblLook w:firstColumn="1" w:firstRow="1" w:lastColumn="0" w:lastRow="0" w:noHBand="0" w:noVBand="1" w:val="04A0"/>
      </w:tblPr>
      <w:tblGrid>
        <w:gridCol w:w="2304"/>
        <w:gridCol w:w="3456"/>
        <w:gridCol w:w="2304"/>
        <w:gridCol w:w="1296"/>
      </w:tblGrid>
      <w:tr>
        <w:trPr>
          <w:tblHeader/>
          <w:cantSplit/>
        </w:trPr>
        <w:tc>
          <w:tcPr>
            <w:tcW w:type="dxa" w:w="2304"/>
          </w:tcPr>
          <w:p>
            <w:r>
              <w:t>Role</w:t>
            </w:r>
          </w:p>
        </w:tc>
        <w:tc>
          <w:tcPr>
            <w:tcW w:type="dxa" w:w="3456"/>
          </w:tcPr>
          <w:p>
            <w:r>
              <w:t>Name and title</w:t>
            </w:r>
          </w:p>
        </w:tc>
        <w:tc>
          <w:tcPr>
            <w:tcW w:type="dxa" w:w="2304"/>
          </w:tcPr>
          <w:p>
            <w:r>
              <w:t>Signature</w:t>
            </w:r>
          </w:p>
        </w:tc>
        <w:tc>
          <w:tcPr>
            <w:tcW w:type="dxa" w:w="1296"/>
          </w:tcPr>
          <w:p>
            <w:r>
              <w:t>Date</w:t>
            </w:r>
          </w:p>
        </w:tc>
      </w:tr>
      <w:tr>
        <w:trPr>
          <w:cantSplit/>
        </w:trPr>
        <w:tc>
          <w:tcPr>
            <w:tcW w:type="dxa" w:w="2304"/>
          </w:tcPr>
          <w:p>
            <w:r>
              <w:t>Committee action</w:t>
            </w:r>
          </w:p>
        </w:tc>
        <w:tc>
          <w:tcPr>
            <w:tcW w:type="dxa" w:w="1296"/>
            <w:gridSpan w:val="3"/>
          </w:tcPr>
          <w:p>
            <w:r>
              <w:t>Select    Decline    Defer    (mark one)</w:t>
            </w:r>
          </w:p>
        </w:tc>
      </w:tr>
      <w:tr>
        <w:trPr>
          <w:cantSplit/>
        </w:trPr>
        <w:tc>
          <w:tcPr>
            <w:tcW w:type="dxa" w:w="2304"/>
          </w:tcPr>
          <w:p>
            <w:r>
              <w:t>Adopting fiduciary</w:t>
            </w:r>
          </w:p>
        </w:tc>
        <w:tc>
          <w:tcPr>
            <w:tcW w:type="dxa" w:w="3456"/>
          </w:tcPr>
          <w:p/>
        </w:tc>
        <w:tc>
          <w:tcPr>
            <w:tcW w:type="dxa" w:w="2304"/>
          </w:tcPr>
          <w:p/>
        </w:tc>
        <w:tc>
          <w:tcPr>
            <w:tcW w:type="dxa" w:w="1296"/>
          </w:tcPr>
          <w:p/>
        </w:tc>
      </w:tr>
      <w:tr>
        <w:trPr>
          <w:cantSplit/>
        </w:trPr>
        <w:tc>
          <w:tcPr>
            <w:tcW w:type="dxa" w:w="2304"/>
          </w:tcPr>
          <w:p>
            <w:r>
              <w:t>Adviser</w:t>
            </w:r>
          </w:p>
        </w:tc>
        <w:tc>
          <w:tcPr>
            <w:tcW w:type="dxa" w:w="3456"/>
          </w:tcPr>
          <w:p/>
        </w:tc>
        <w:tc>
          <w:tcPr>
            <w:tcW w:type="dxa" w:w="2304"/>
          </w:tcPr>
          <w:p/>
        </w:tc>
        <w:tc>
          <w:tcPr>
            <w:tcW w:type="dxa" w:w="1296"/>
          </w:tcPr>
          <w:p/>
        </w:tc>
      </w:tr>
      <w:tr>
        <w:trPr>
          <w:cantSplit/>
        </w:trPr>
        <w:tc>
          <w:tcPr>
            <w:tcW w:type="dxa" w:w="2304"/>
          </w:tcPr>
          <w:p>
            <w:r>
              <w:t>Committee secretary</w:t>
            </w:r>
          </w:p>
        </w:tc>
        <w:tc>
          <w:tcPr>
            <w:tcW w:type="dxa" w:w="3456"/>
          </w:tcPr>
          <w:p/>
        </w:tc>
        <w:tc>
          <w:tcPr>
            <w:tcW w:type="dxa" w:w="2304"/>
          </w:tcPr>
          <w:p/>
        </w:tc>
        <w:tc>
          <w:tcPr>
            <w:tcW w:type="dxa" w:w="1296"/>
          </w:tcPr>
          <w:p/>
        </w:tc>
      </w:tr>
    </w:tbl>
    <w:p>
      <w:r>
        <w:t>Record as of 2026-09-04. Status: DRAFT until signed.</w:t>
      </w:r>
    </w:p>
    <w:p>
      <w:r>
        <w:fldChar w:fldCharType="begin"/>
      </w:r>
      <w:r>
        <w:instrText xml:space="preserve">TOC \o "1-2" \h \z \u</w:instrText>
      </w:r>
      <w:r>
        <w:fldChar w:fldCharType="separate"/>
      </w:r>
      <w:r>
        <w:t>Table of contents: updated when the document is opened in Word.</w:t>
      </w:r>
      <w:r>
        <w:fldChar w:fldCharType="end"/>
      </w:r>
    </w:p>
    <w:p>
      <w:pPr>
        <w:pStyle w:val="Heading1"/>
        <w:keepNext/>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record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record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the record. The rule paragraph under each letter follows verbatim. The full text of paragraphs (g) to (l), examples included, is Attachment A, one document shared by every record and named by its content hash, aef7a94680824e5574780e1f614702189d9dafcf1fde58558ff3ac782d3dcd5a.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keepNext/>
      </w:pPr>
      <w:r>
        <w:t>Six-factor findings</w:t>
      </w:r>
    </w:p>
    <w:p>
      <w:pPr>
        <w:keepNext/>
      </w:pPr>
      <w:r>
        <w:t>Per factor: one sentence generated from the facts on record (each clause names its cell), then the facts on record the computations read, then the complete first sentence of every evidenced cell with its status, then the cells marked not applicable with the reason. The full sourced text, quote and document of every cell is in the evidence ledger and on the Evaluation view.</w:t>
      </w:r>
    </w:p>
    <w:tbl>
      <w:tblPr>
        <w:tblStyle w:val="TableGrid"/>
        <w:tblW w:type="dxa" w:w="9360"/>
        <w:tblLayout w:type="fixed"/>
        <w:tblLook w:firstColumn="1" w:firstRow="1" w:lastColumn="0" w:lastRow="0" w:noHBand="0" w:noVBand="1" w:val="04A0"/>
      </w:tblPr>
      <w:tblGrid>
        <w:gridCol w:w="1728"/>
        <w:gridCol w:w="7632"/>
      </w:tblGrid>
      <w:tr>
        <w:trPr>
          <w:tblHeader/>
          <w:cantSplit/>
        </w:trPr>
        <w:tc>
          <w:tcPr>
            <w:tcW w:type="dxa" w:w="1728"/>
          </w:tcPr>
          <w:p>
            <w:r>
              <w:t>Factor</w:t>
            </w:r>
          </w:p>
        </w:tc>
        <w:tc>
          <w:tcPr>
            <w:tcW w:type="dxa" w:w="7632"/>
          </w:tcPr>
          <w:p>
            <w:r>
              <w:t>Findings (cell, status, first sentence)</w:t>
            </w:r>
          </w:p>
        </w:tc>
      </w:tr>
      <w:tr>
        <w:trPr>
          <w:cantSplit/>
        </w:trPr>
        <w:tc>
          <w:tcPr>
            <w:tcW w:type="dxa" w:w="1728"/>
          </w:tcPr>
          <w:p>
            <w:r>
              <w:t>1. Performance (g)</w:t>
            </w:r>
          </w:p>
        </w:tc>
        <w:tc>
          <w:tcPr>
            <w:tcW w:type="dxa" w:w="7632"/>
          </w:tcPr>
          <w:p>
            <w:r>
              <w:t>On performance (g), the record holds 3.6 years of history since 2022-05-12 (cell 1.11) and net assets of approx. $438.0M (cell 2.3).</w:t>
            </w:r>
          </w:p>
          <w:p>
            <w:r>
              <w:t>Facts on record: 1.11 inception 2022-05-12, 3.6 years.</w:t>
            </w:r>
          </w:p>
          <w:p>
            <w:r>
              <w:t>1.1 Net total return series (extracted-unverified): NAV per share, FY-end (common stock, sole class): FY2022 $5.22, FY2023 $4.84, FY2024 $6.44, FY2025 $19.93, beginning NAV 1/1/2022 was NEGATIVE $(1.60).</w:t>
            </w:r>
          </w:p>
          <w:p>
            <w:r>
              <w:t>1.2 Trailing &amp; calendar-year returns (extracted-unverified): Total Return on MARKET VALUE: +613.45% (2024, listing year) then (47.96)% (2025), the premium/discount pathology quantified in the fund's own highlights.</w:t>
            </w:r>
          </w:p>
          <w:p>
            <w:r>
              <w:t>1.3 Gross vs net spread (extracted-unverified): No gross-vs-net spread exists: the Financial Highlights print a SINGLE expense line, 'Ratio of expenses to average net assets', 4.53% (FY2025), 6.28% (FY2024), 5.92% (FY2023), 5.13% (FY2022), with no before/after-waiver companion line.</w:t>
            </w:r>
          </w:p>
          <w:p>
            <w:r>
              <w:t>1.4 Distribution history &amp; composition (extracted-unverified): No distributions ever paid through FY2025.</w:t>
            </w:r>
          </w:p>
          <w:p>
            <w:r>
              <w:t>1.6 Volatility &amp; max drawdown (computed): Computed from the held daily series DXYZ (Yahoo daily close, a market price that includes premium and discount dynamics), 2024-03-26 to 2026-07-17: annualized volatility 204.62% on 28 monthly returns and 162.6% on daily returns, max drawdown -90.35% on the daily series (peak 2024-04-08 to trough 2024-08-07).</w:t>
            </w:r>
          </w:p>
          <w:p>
            <w:r>
              <w:t>1.8 Risk-adjusted metrics (PME etc) (computed): No KS-PME or Direct Alpha computable for the meaningful-benchmark slot: NO MEANINGFUL BENCHMARK CONSTRUCTIBLE for this pre-IPO and venture fund: its price is premium-driven and decoupled from NAV, so every candidate benchmarks the premium, not the portfolio.</w:t>
            </w:r>
          </w:p>
          <w:p>
            <w:r>
              <w:t>1.9 Stress-window performance (computed): Stress observation from the printed fiscal-year returns on record.</w:t>
            </w:r>
          </w:p>
          <w:p>
            <w:r>
              <w:t>1.10 Market price &amp; premium/discount (computed): Full trading-life price series on record (579 sessions, 2024-03-26 to 2026-07-17, DXYZ daily close): first $9.00, peak $99.79 on 2024-04-08, last $25.97, cumulative +188.6%.</w:t>
            </w:r>
          </w:p>
          <w:p>
            <w:r>
              <w:t>1.11 Track record &amp; manager tenure (extracted-unverified): Portfolio managers = members of the Investment Committee, 'currently comprised of Sohail Prasad' (sole member).</w:t>
            </w:r>
          </w:p>
          <w:p>
            <w:r>
              <w:t>1.12 Peer comparison (paragraphs (g) and (h)) (computed): Peer comparison (paragraphs (g) and (h)): pre-IPO and venture cohort, peers Neostellar Capital Corp., ARK Venture Fund, fund return basis Yahoo adjusted close, a market price with distributions reinvested, not NAV (DXYZ).</w:t>
            </w:r>
          </w:p>
          <w:p>
            <w:r>
              <w:t>Not applicable: 1.5 underlying fund/GP-level returns are LP-only reporting, filings disclose holdings at fair value (see 3.4/SOI), not underlying fund IRRs. 1.7 appraisal-series diagnostic, product's public series is a market price, NAV filed quarterly.</w:t>
            </w:r>
          </w:p>
        </w:tc>
      </w:tr>
      <w:tr>
        <w:trPr>
          <w:cantSplit/>
        </w:trPr>
        <w:tc>
          <w:tcPr>
            <w:tcW w:type="dxa" w:w="1728"/>
          </w:tcPr>
          <w:p>
            <w:r>
              <w:t>2. Fees (h)</w:t>
            </w:r>
          </w:p>
        </w:tc>
        <w:tc>
          <w:tcPr>
            <w:tcW w:type="dxa" w:w="7632"/>
          </w:tcPr>
          <w:p>
            <w:r>
              <w:t>On fees and expenses (h), the management fee is 2.50% on gross assets incl. borrowings (cell 2.1), the incentive fee is none (cell 2.2) and the expense ratio is 4.53% (of average net assets (FY2025)) (cell 2.3).</w:t>
            </w:r>
          </w:p>
          <w:p>
            <w:r>
              <w:t>Facts on record: 2.1 2.50% on gross assets incl. borrowings. 2.2 incentive fee: none. 2.3 4.53% expense ratio, of average net assets (FY2025). 2.4 AFFE 0.03%.</w:t>
            </w:r>
          </w:p>
          <w:p>
            <w:r>
              <w:t>2.1 Management fee (rate AND base) (extracted-unverified): CORRECTED per crosscheck: Revised Base Management Fee IN FORCE since NYSE listing (3/26/2024): 0.625% per QUARTER = 2.50% annualized of average GROSS assets INCLUDING assets purchased with borrowings, the leverage-inclusive fee-base trap (cell 2.1) on the fail case itself.</w:t>
            </w:r>
          </w:p>
          <w:p>
            <w:r>
              <w:t>2.2 Incentive fee terms (extracted-unverified): NO incentive/performance fee at the fund level, absence documented three ways: (1) the advisory-agreement compensation statement prints ONLY the Management Fee (2.50% annualized of average gross assets, payable quarterly) with no incentive-fee sentence anywhere in the Management/Investment Advisory Agreement sections, (2) the 424B5 Form N-2 fee table rows are Management Fee 2.18% / Interest on borrowed funds 0.00% / AFFE 0.03% / Other Expenses 2.35% / Total annual expenses 4.56%, no incentive-fee line item (N-2 fee table would require one if charged), (3) N-CSR Note 5(a) describes only the Original (2.00% on invested capital) and Revised (0.625%/quarter of gross assets) base management fees, and FY2025 related-party fees list no incentive amount.</w:t>
            </w:r>
          </w:p>
          <w:p>
            <w:r>
              <w:t>2.3 Total expense ratio &amp; waivers (extracted-unverified): Expense ratio 4.53% of avg net assets (FY2025), prior years 6.28 / 5.92 / 5.13.</w:t>
            </w:r>
          </w:p>
          <w:p>
            <w:r>
              <w:t>2.4 AFFE (extracted-unverified): AFFE line present in the 424B5 fee table ('Annual expenses', estimates for current fiscal year, % of net assets attributable to common stock): Acquired Fund Fees and Expenses 0.03% (footnote 3: 'Acquired Fund Fees and Expenses are the indirect costs of investing in other investment companies').</w:t>
            </w:r>
          </w:p>
          <w:p>
            <w:r>
              <w:t>2.5 Underlying GP economics (extracted-unverified): N-CSR Note 5(b) prints a complete SPV economics table ('Management fees incurred by SPVs'): 16 SPVs listed, ongoing management fees 0% for ALL 16, carried interest/incentive fees 0% for 14 of 16, the two exceptions being Khosla Ventures IFSPV II, LLC (Impossible Foods Series H Preferred) at 20% and MWAM VC SpaceX-II, LLC (SpaceX Class A/C common exposure) at 10%.</w:t>
            </w:r>
          </w:p>
          <w:p>
            <w:r>
              <w:t>2.6 Loads &amp; servicing fees (extracted-unverified): Single class of listed common stock, no sales-load table, no 12b-1/distribution-and-servicing fee, and no dealer-manager fee rates printed in the 424B5 (searched 'sales load', 'servicing fee', '12b-1', 'dealer manager', only a generic expense-list mention of underwriting/dealer manager/placement agent agreements 'if any').</w:t>
            </w:r>
          </w:p>
          <w:p>
            <w:r>
              <w:t>2.9 Fee peer percentile (computed): Cohort placement (pre-IPO and venture cohort): mgmt fee: at the cohort median of 2.5 (n=3, too small for percentile language) | expense ratio (bases differ, see notes): at the cohort median of 4.53 (n=3, too small for percentile language) | repurchase cap: fact unavailable for this member.</w:t>
            </w:r>
          </w:p>
          <w:p>
            <w:r>
              <w:t>Not applicable: 2.7 no early-repurchase fee (exchange-traded). 2.8 CIT only. 2.10 requires the plan committee's own value-for-fees determination, workflow output, not public product data (inputs live in cells 2.1-2.9).</w:t>
            </w:r>
          </w:p>
        </w:tc>
      </w:tr>
      <w:tr>
        <w:trPr>
          <w:cantSplit/>
        </w:trPr>
        <w:tc>
          <w:tcPr>
            <w:tcW w:type="dxa" w:w="1728"/>
          </w:tcPr>
          <w:p>
            <w:r>
              <w:t>3. Liquidity (i)</w:t>
            </w:r>
          </w:p>
        </w:tc>
        <w:tc>
          <w:tcPr>
            <w:tcW w:type="dxa" w:w="7632"/>
          </w:tcPr>
          <w:p>
            <w:r>
              <w:t>On liquidity (i), the wrapper deals by daily on-exchange dealing, no fund-level cap (3.1), no proration is identified in the filings on record (cell 3.3), the plan's filed outflow proxy is 11.7% of the position per year (the plan record) and the structural verdict is aligned-mechanical with the scenario verdict aligned-mechanical under this plan (ILLUSTRATIVE, cell 3.9).</w:t>
            </w:r>
          </w:p>
          <w:p>
            <w:r>
              <w:t>Facts on record: 3.1 on-exchange dealing. 3.9 structural verdict aligned-mechanical, plan-independent.</w:t>
            </w:r>
          </w:p>
          <w:p>
            <w:r>
              <w:t>3.1 Wrapper liquidity terms (extracted-unverified): Listed CEF: NYSE since March 26, 2024, ticker DXYZ, daily on-exchange liquidity, no fund-level repurchase program.</w:t>
            </w:r>
          </w:p>
          <w:p>
            <w:r>
              <w:t>3.4 Portfolio liquidity profile (extracted-unverified): As of 12/31/2025 (N-CSR fair value hierarchy): total investments $428,897,451 = Level 1 $203,457,292 (incl. money market $200,873,326), Level 2 $0, Level 3 $224,274,823 (common stocks $23,999,768, preferred stocks $42,555,604, SPVs $157,719,451), practical expedient $1,165,336.</w:t>
            </w:r>
          </w:p>
          <w:p>
            <w:r>
              <w:t>3.6 Fund leverage &amp; facilities (extracted-unverified): No borrowings, no credit facility, no preferred: (1) N-CSR balance sheet (12/31/2025) Total Liabilities $3,323,215 consist entirely of operating payables (management fees $1,891,641, professional $687,752, investments purchased $487,822, valuation $153,000, fund admin $48,000, printing $42,573, transfer agent $7,496, custody $1,300, other $3,631), no debt line, zero N-CSR hits for credit facility / line of credit / borrowings outstanding.</w:t>
            </w:r>
          </w:p>
          <w:p>
            <w:r>
              <w:t>3.7 Plan participant liquidity demand (computed, this plan): Plan-side demand profile for this plan (Form 5500, plan year 2024-01-01 to 2024-12-31): 1,847 separated participants with balances = 36.1% of 5,120 accounts (the near-term liquidity tail), 3,281 active, 0 retirees in pay status, filed outflow proxy 11.69% of beginning net assets (Schedule H totals).</w:t>
            </w:r>
          </w:p>
          <w:p>
            <w:r>
              <w:t>3.8 Redemption stress test (computed, this plan): Redemption stress test not applicable: the wrapper is exchange-traded with continuous dealing, so there is no wrapper capacity to stress.</w:t>
            </w:r>
          </w:p>
          <w:p>
            <w:r>
              <w:t>3.9 Product-to-plan liquidity match (computed, this plan): Structural liquidity verdict ALIGNED-MECHANICAL (dealing terms on record, plan-independent). Scenario verdict under this plan (ILLUSTRATIVE): ALIGNED-MECHANICAL. Source: this plan's liquidity match.</w:t>
            </w:r>
          </w:p>
          <w:p>
            <w:r>
              <w:t>Not applicable: 3.2 exchange-traded. 3.3 exchange-traded. 3.5 CIT only.</w:t>
            </w:r>
          </w:p>
        </w:tc>
      </w:tr>
      <w:tr>
        <w:trPr>
          <w:cantSplit/>
        </w:trPr>
        <w:tc>
          <w:tcPr>
            <w:tcW w:type="dxa" w:w="1728"/>
          </w:tcPr>
          <w:p>
            <w:r>
              <w:t>4. Valuation (j)</w:t>
            </w:r>
          </w:p>
        </w:tc>
        <w:tc>
          <w:tcPr>
            <w:tcW w:type="dxa" w:w="7632"/>
          </w:tcPr>
          <w:p>
            <w:r>
              <w:t>On valuation (j), the holder transacts at the market price struck quarterly (the registry descriptors) and the auditor is KPMG LLP (Big 4) (cell 4.5).</w:t>
            </w:r>
          </w:p>
          <w:p>
            <w:r>
              <w:t>Facts on record: 4.5 KPMG LLP (Big 4).</w:t>
            </w:r>
          </w:p>
          <w:p>
            <w:r>
              <w:t>4.1 Valuation policy &amp; NAV frequency (extracted-unverified): Valuation: Board has appointed the Adviser (Destiny Advisors LLC) as 'Valuation Designee' under Rule 2a-5 to perform fair value determinations, applying ASC 820 (Income and Market Approaches), the Adviser, with input from an independent third-party valuation agent, values each Level 3 investment quarterly, the Fund's fair valuation committee meets (N-CSR Note 3 - Fair Value Measurements).</w:t>
            </w:r>
          </w:p>
          <w:p>
            <w:r>
              <w:t>4.2 Fair-value hierarchy (L1/2/3) (partial): PARTIAL: portfolio predominantly Level 3 - 'Level 3 securities fair valued using significant unobservable inputs' (SOI footnote b), dollar hierarchy table pending read.</w:t>
            </w:r>
          </w:p>
          <w:p>
            <w:r>
              <w:t>4.3 Independent valuation agent (extracted-unverified): Independent valuation agent exists but is NOT NAMED in any on-disk dxyz filing.</w:t>
            </w:r>
          </w:p>
          <w:p>
            <w:r>
              <w:t>4.4 Methodology by asset type (extracted-unverified): Level 3 quantitative inputs table (N-CSR Note 3, as of 12/31/2025, fair value / technique / unobservable input / range(avg)): COMMON STOCKS $23,999,768 across 7 buckets, Market Approach: VWAP transaction prices $341,318 ($2.00-$4.25, avg $3.84), recent transaction price $1,968,480 ($6.57-$17.63, N/A), VWAP transaction+index prices $296,156 ($270.00-$286.00, avg $277.04), index price $1,416,993 ($17.13), average of broker quotes $2,522,487 ($3.00-$22.99, avg 13.08), recent transaction+index prices $12,438,334 ($1,442.37-$1,591.38, avg $1,516.87), plus Cost/investment cost $5,016,000.</w:t>
            </w:r>
          </w:p>
          <w:p>
            <w:r>
              <w:t>4.5 Auditor &amp; opinion (extracted-unverified): KPMG LLP, Philadelphia, PA, Fund's auditor since 2025, unqualified opinion on FY2025 financial statements, opinion dated March 5, 2026.</w:t>
            </w:r>
          </w:p>
          <w:p>
            <w:r>
              <w:t>4.6 NAV restatement history (extracted-unverified): No NAV restatement identified: searched N-CSR 2026-03-10, 424B5 2026-05-26, 424B3 2026-05-12 and N-2-A 2025-07-10 for 'restat'/'error correction'/'reprocess', only hits are corporate 'Articles of Amendment and Restatement' / 'Amended and Restated Bylaws'.</w:t>
            </w:r>
          </w:p>
          <w:p>
            <w:r>
              <w:t>4.7 Premium/discount check (computed): Premium vs the latest FILED quarterly NAV ($24.56): +5.7% at the 2026-07-17 close ($25.97).</w:t>
            </w:r>
          </w:p>
          <w:p>
            <w:r>
              <w:t>Not applicable: 4.8 appraisal-series diagnostic, product's public series is a market price, NAV filed quarterly. 4.9 CIT only.</w:t>
            </w:r>
          </w:p>
        </w:tc>
      </w:tr>
      <w:tr>
        <w:trPr>
          <w:cantSplit/>
        </w:trPr>
        <w:tc>
          <w:tcPr>
            <w:tcW w:type="dxa" w:w="1728"/>
          </w:tcPr>
          <w:p>
            <w:r>
              <w:t>5. Performance Benchmarks (k)</w:t>
            </w:r>
          </w:p>
        </w:tc>
        <w:tc>
          <w:tcPr>
            <w:tcW w:type="dxa" w:w="7632"/>
          </w:tcPr>
          <w:p>
            <w:r>
              <w:t>On performance benchmarks (k), no meaningful benchmark could be constructed from the data held (cell 5.6).</w:t>
            </w:r>
          </w:p>
          <w:p>
            <w:r>
              <w:t>5.1 Self-declared benchmark (extracted-unverified): YES, the Fund itself declares the NASDAQ Composite Index as its benchmark, in two places in the N-CSR: (1) Manager's Commentary: FY2025 NAV +209.59% 'compares to a 20.36% return for the Nasdaq Composite, a benchmark', (2) 'Performance and Graphical Illustrations' prints a comparison table under the heading 'Fund Benchmark': NASDAQ Composite Index one-year 20.36%, annualized since inception 28.65% (inception basis 5/12/2022), against Fund NAV 209.59% / 42.62% and Fund market price (47.96)% / 153.27%, footnote (c) describes the index composition.</w:t>
            </w:r>
          </w:p>
          <w:p>
            <w:r>
              <w:t>5.3 Alt asset-class indices (computed): Candidates evaluated for the meaningful-benchmark slot, paragraph (k) (Tark benchmark rubric, 10 points, threshold 6 of 10, strategy gate below 2 of 3 ineligible, an index published by the fund's own adviser ineligible).</w:t>
            </w:r>
          </w:p>
          <w:p>
            <w:r>
              <w:t>5.4 Peer universe &amp; returns (computed): Peer cohort: pre-IPO and venture cohort (n=3: Destiny Tech100 Inc, Neostellar Capital Corp., ARK Venture Fund).</w:t>
            </w:r>
          </w:p>
          <w:p>
            <w:r>
              <w:t>5.5 PME / Direct Alpha inputs (computed): No public market series comparison is computable on held data, so no PME inputs exist for this product: NO MEANINGFUL BENCHMARK CONSTRUCTIBLE for this pre-IPO and venture fund: its price is premium-driven and decoupled from NAV, so every candidate benchmarks the premium, not the portfolio.</w:t>
            </w:r>
          </w:p>
          <w:p>
            <w:r>
              <w:t>5.6 Benchmark suitability memo (computed): Benchmark suitability (Tark benchmark rubric, 10 points).</w:t>
            </w:r>
          </w:p>
          <w:p>
            <w:r>
              <w:t>5.7 Case-law tracker (partial): Anderson v. Intel Corp. Investment Policy Committee, No. 25-498 (U.S.).</w:t>
            </w:r>
          </w:p>
        </w:tc>
      </w:tr>
      <w:tr>
        <w:trPr>
          <w:cantSplit/>
        </w:trPr>
        <w:tc>
          <w:tcPr>
            <w:tcW w:type="dxa" w:w="1728"/>
          </w:tcPr>
          <w:p>
            <w:r>
              <w:t>6. Complexity (l)</w:t>
            </w:r>
          </w:p>
        </w:tc>
        <w:tc>
          <w:tcPr>
            <w:tcW w:type="dxa" w:w="7632"/>
          </w:tcPr>
          <w:p>
            <w:r>
              <w:t>On complexity (l), the wrapper is listed closed-end fund (cell 6.1) and cells 6.6 and 6.8 are advisor-completed under paragraph (l).</w:t>
            </w:r>
          </w:p>
          <w:p>
            <w:r>
              <w:t>Facts on record: 6.1 listed closed-end fund.</w:t>
            </w:r>
          </w:p>
          <w:p>
            <w:r>
              <w:t>6.1 Structure map (extracted-unverified): Maryland corporation formed November 18, 2020, commenced operations January 25, 2021, registered with SEC as an investment company May 13, 2022, non-diversified closed-end management investment company under the 1940 Act, NYSE 'DXYZ' since March 26, 2024, RIC election beginning taxable year ended 12/31/2023, principal office Austin, TX.</w:t>
            </w:r>
          </w:p>
          <w:p>
            <w:r>
              <w:t>6.2 Strategy &amp; instrument complexity (extracted-unverified): Objective: maximize total return principally via capital gains on equity/equity-related investments in what it believes to be 100 of the top venture-backed private technology companies.</w:t>
            </w:r>
          </w:p>
          <w:p>
            <w:r>
              <w:t>6.3 Conflicts &amp; affiliated transactions (extracted-unverified): Conflicts (424B5 'Potential conflicts of interest'): Adviser's team manages/may manage other vehicles, Mr. Prasad co-founded S2 Capital, which invested in early-stage tech companies the Fund may also seek to invest in, subject to Adviser conflicts procedures, Prasad is a shareholder of Forge and SharesPost, private-securities marketplaces the Company may utilize, subject to best-execution policy.</w:t>
            </w:r>
          </w:p>
          <w:p>
            <w:r>
              <w:t>6.4 Tax reporting (1099 vs K-1) (partial): PARTIAL: tax form NOT explicitly named in on-disk filings, searched N-CSR 2026-03-10, 424B5 2026-05-26, 424B3 2026-05-12 and N-2-A 2025-07-10 for '1099' / 'K-1' / 'Schedule K': zero hits.</w:t>
            </w:r>
          </w:p>
          <w:p>
            <w:r>
              <w:t>6.5 Service-provider web (extracted-unverified): Administrator, Accounting Agent and Transfer Agent (also dividend paying agent and registrar): U.S. Bancorp Fund Services, LLC d/b/a US Bank Global Fund Services, Milwaukee, WI.</w:t>
            </w:r>
          </w:p>
          <w:p>
            <w:r>
              <w:t>Not applicable: 6.6 requires plan-specific recordkeeper/trading integration facts, workflow cell completed per plan engagement, not public product data. 6.7 requires plan-committee participant-communication assessment, workflow cell, product-side inputs already evidenced in 6.1/6.2/6.4. 6.8 workflow, not data.</w:t>
            </w:r>
          </w:p>
        </w:tc>
      </w:tr>
    </w:tbl>
    <w:p>
      <w:pPr>
        <w:pStyle w:val="Heading2"/>
        <w:keepNext/>
      </w:pPr>
      <w:r>
        <w:t>Fees and terms on record</w:t>
      </w:r>
    </w:p>
    <w:p>
      <w:pPr>
        <w:keepNext/>
      </w:pPr>
      <w:r>
        <w:t>Each line is the fact read from the cell, or the cell's status word when none is on record. Full text and provenance are in the evidence ledger.</w:t>
      </w:r>
    </w:p>
    <w:tbl>
      <w:tblPr>
        <w:tblStyle w:val="TableGrid"/>
        <w:tblW w:type="dxa" w:w="9360"/>
        <w:tblLayout w:type="fixed"/>
        <w:tblLook w:firstColumn="1" w:firstRow="1" w:lastColumn="0" w:lastRow="0" w:noHBand="0" w:noVBand="1" w:val="04A0"/>
      </w:tblPr>
      <w:tblGrid>
        <w:gridCol w:w="2880"/>
        <w:gridCol w:w="3600"/>
        <w:gridCol w:w="2880"/>
      </w:tblGrid>
      <w:tr>
        <w:trPr>
          <w:tblHeader/>
          <w:cantSplit/>
        </w:trPr>
        <w:tc>
          <w:tcPr>
            <w:tcW w:type="dxa" w:w="2880"/>
          </w:tcPr>
          <w:p>
            <w:r>
              <w:t>Cell</w:t>
            </w:r>
          </w:p>
        </w:tc>
        <w:tc>
          <w:tcPr>
            <w:tcW w:type="dxa" w:w="3600"/>
          </w:tcPr>
          <w:p>
            <w:r>
              <w:t>Headline</w:t>
            </w:r>
          </w:p>
        </w:tc>
        <w:tc>
          <w:tcPr>
            <w:tcW w:type="dxa" w:w="2880"/>
          </w:tcPr>
          <w:p>
            <w:r>
              <w:t>Status</w:t>
            </w:r>
          </w:p>
        </w:tc>
      </w:tr>
      <w:tr>
        <w:trPr>
          <w:cantSplit/>
        </w:trPr>
        <w:tc>
          <w:tcPr>
            <w:tcW w:type="dxa" w:w="2880"/>
          </w:tcPr>
          <w:p>
            <w:r>
              <w:t>2.1 Management fee (rate AND base)</w:t>
            </w:r>
          </w:p>
        </w:tc>
        <w:tc>
          <w:tcPr>
            <w:tcW w:type="dxa" w:w="3600"/>
          </w:tcPr>
          <w:p>
            <w:r>
              <w:t>2.50% on gross assets incl. borrowings</w:t>
            </w:r>
          </w:p>
        </w:tc>
        <w:tc>
          <w:tcPr>
            <w:tcW w:type="dxa" w:w="2880"/>
          </w:tcPr>
          <w:p>
            <w:r>
              <w:t>extracted-unverified</w:t>
            </w:r>
          </w:p>
        </w:tc>
      </w:tr>
      <w:tr>
        <w:trPr>
          <w:cantSplit/>
        </w:trPr>
        <w:tc>
          <w:tcPr>
            <w:tcW w:type="dxa" w:w="2880"/>
          </w:tcPr>
          <w:p>
            <w:r>
              <w:t>2.2 Incentive fee terms</w:t>
            </w:r>
          </w:p>
        </w:tc>
        <w:tc>
          <w:tcPr>
            <w:tcW w:type="dxa" w:w="3600"/>
          </w:tcPr>
          <w:p>
            <w:r>
              <w:t>incentive fee: none</w:t>
            </w:r>
          </w:p>
        </w:tc>
        <w:tc>
          <w:tcPr>
            <w:tcW w:type="dxa" w:w="2880"/>
          </w:tcPr>
          <w:p>
            <w:r>
              <w:t>extracted-unverified</w:t>
            </w:r>
          </w:p>
        </w:tc>
      </w:tr>
      <w:tr>
        <w:trPr>
          <w:cantSplit/>
        </w:trPr>
        <w:tc>
          <w:tcPr>
            <w:tcW w:type="dxa" w:w="2880"/>
          </w:tcPr>
          <w:p>
            <w:r>
              <w:t>2.3 Total expense ratio &amp; waivers</w:t>
            </w:r>
          </w:p>
        </w:tc>
        <w:tc>
          <w:tcPr>
            <w:tcW w:type="dxa" w:w="3600"/>
          </w:tcPr>
          <w:p>
            <w:r>
              <w:t>4.53% expense ratio, of average net assets (FY2025)</w:t>
            </w:r>
          </w:p>
        </w:tc>
        <w:tc>
          <w:tcPr>
            <w:tcW w:type="dxa" w:w="2880"/>
          </w:tcPr>
          <w:p>
            <w:r>
              <w:t>extracted-unverified</w:t>
            </w:r>
          </w:p>
        </w:tc>
      </w:tr>
      <w:tr>
        <w:trPr>
          <w:cantSplit/>
        </w:trPr>
        <w:tc>
          <w:tcPr>
            <w:tcW w:type="dxa" w:w="2880"/>
          </w:tcPr>
          <w:p>
            <w:r>
              <w:t>2.4 AFFE</w:t>
            </w:r>
          </w:p>
        </w:tc>
        <w:tc>
          <w:tcPr>
            <w:tcW w:type="dxa" w:w="3600"/>
          </w:tcPr>
          <w:p>
            <w:r>
              <w:t>AFFE 0.03%</w:t>
            </w:r>
          </w:p>
        </w:tc>
        <w:tc>
          <w:tcPr>
            <w:tcW w:type="dxa" w:w="2880"/>
          </w:tcPr>
          <w:p>
            <w:r>
              <w:t>extracted-unverified</w:t>
            </w:r>
          </w:p>
        </w:tc>
      </w:tr>
      <w:tr>
        <w:trPr>
          <w:cantSplit/>
        </w:trPr>
        <w:tc>
          <w:tcPr>
            <w:tcW w:type="dxa" w:w="2880"/>
          </w:tcPr>
          <w:p>
            <w:r>
              <w:t>2.6 Loads &amp; servicing fees</w:t>
            </w:r>
          </w:p>
        </w:tc>
        <w:tc>
          <w:tcPr>
            <w:tcW w:type="dxa" w:w="3600"/>
          </w:tcPr>
          <w:p>
            <w:r>
              <w:t>no fact on record for this cell</w:t>
            </w:r>
          </w:p>
        </w:tc>
        <w:tc>
          <w:tcPr>
            <w:tcW w:type="dxa" w:w="2880"/>
          </w:tcPr>
          <w:p>
            <w:r>
              <w:t>extracted-unverified</w:t>
            </w:r>
          </w:p>
        </w:tc>
      </w:tr>
      <w:tr>
        <w:trPr>
          <w:cantSplit/>
        </w:trPr>
        <w:tc>
          <w:tcPr>
            <w:tcW w:type="dxa" w:w="2880"/>
          </w:tcPr>
          <w:p>
            <w:r>
              <w:t>2.7 Early repurchase fee</w:t>
            </w:r>
          </w:p>
        </w:tc>
        <w:tc>
          <w:tcPr>
            <w:tcW w:type="dxa" w:w="3600"/>
          </w:tcPr>
          <w:p>
            <w:r>
              <w:t>not applicable, the record states why</w:t>
            </w:r>
          </w:p>
        </w:tc>
        <w:tc>
          <w:tcPr>
            <w:tcW w:type="dxa" w:w="2880"/>
          </w:tcPr>
          <w:p>
            <w:r>
              <w:t>n/a, no early-repurchase fee (exchange-traded)</w:t>
            </w:r>
          </w:p>
        </w:tc>
      </w:tr>
      <w:tr>
        <w:trPr>
          <w:cantSplit/>
        </w:trPr>
        <w:tc>
          <w:tcPr>
            <w:tcW w:type="dxa" w:w="2880"/>
          </w:tcPr>
          <w:p>
            <w:r>
              <w:t>6.4 Tax reporting (1099 vs K-1)</w:t>
            </w:r>
          </w:p>
        </w:tc>
        <w:tc>
          <w:tcPr>
            <w:tcW w:type="dxa" w:w="3600"/>
          </w:tcPr>
          <w:p>
            <w:r>
              <w:t>no fact on record for this cell</w:t>
            </w:r>
          </w:p>
        </w:tc>
        <w:tc>
          <w:tcPr>
            <w:tcW w:type="dxa" w:w="2880"/>
          </w:tcPr>
          <w:p>
            <w:r>
              <w:t>partial</w:t>
            </w:r>
          </w:p>
        </w:tc>
      </w:tr>
    </w:tbl>
    <w:p>
      <w:pPr>
        <w:pStyle w:val="Heading1"/>
        <w:keepNext/>
      </w:pPr>
      <w:r>
        <w:t>Benchmark selection and justification</w:t>
      </w:r>
    </w:p>
    <w:p>
      <w:r>
        <w:t>Return basis for every comparison in this section: Yahoo adjusted close, a market price with distributions reinvested, not NAV (DXYZ).</w:t>
      </w:r>
    </w:p>
    <w:p>
      <w:pPr>
        <w:pStyle w:val="Heading2"/>
        <w:keepNext/>
      </w:pPr>
      <w:r>
        <w:t>Ledger: every candidate and its outcome</w:t>
      </w:r>
    </w:p>
    <w:p>
      <w:pPr>
        <w:keepNext/>
      </w:pPr>
      <w:r>
        <w:t>Tark benchmark rubric, 10 points, threshold 6 of 10, strategy gate 2 of 3, affiliated providers ineligible. No candidate is eligible on held data.</w:t>
      </w:r>
    </w:p>
    <w:tbl>
      <w:tblPr>
        <w:tblStyle w:val="TableGrid"/>
        <w:tblW w:type="dxa" w:w="9360"/>
        <w:tblLayout w:type="fixed"/>
        <w:tblLook w:firstColumn="1" w:firstRow="1" w:lastColumn="0" w:lastRow="0" w:noHBand="0" w:noVBand="1" w:val="04A0"/>
      </w:tblPr>
      <w:tblGrid>
        <w:gridCol w:w="1584"/>
        <w:gridCol w:w="2736"/>
        <w:gridCol w:w="1584"/>
        <w:gridCol w:w="864"/>
        <w:gridCol w:w="2592"/>
      </w:tblGrid>
      <w:tr>
        <w:trPr>
          <w:tblHeader/>
          <w:cantSplit/>
        </w:trPr>
        <w:tc>
          <w:tcPr>
            <w:tcW w:type="dxa" w:w="1584"/>
          </w:tcPr>
          <w:p>
            <w:r>
              <w:t>Slot</w:t>
            </w:r>
          </w:p>
        </w:tc>
        <w:tc>
          <w:tcPr>
            <w:tcW w:type="dxa" w:w="2736"/>
          </w:tcPr>
          <w:p>
            <w:r>
              <w:t>Candidate</w:t>
            </w:r>
          </w:p>
        </w:tc>
        <w:tc>
          <w:tcPr>
            <w:tcW w:type="dxa" w:w="1584"/>
          </w:tcPr>
          <w:p>
            <w:r>
              <w:t>Lane</w:t>
            </w:r>
          </w:p>
        </w:tc>
        <w:tc>
          <w:tcPr>
            <w:tcW w:type="dxa" w:w="864"/>
          </w:tcPr>
          <w:p>
            <w:r>
              <w:t>Score</w:t>
            </w:r>
          </w:p>
        </w:tc>
        <w:tc>
          <w:tcPr>
            <w:tcW w:type="dxa" w:w="2592"/>
          </w:tcPr>
          <w:p>
            <w:r>
              <w:t>Outcome</w:t>
            </w:r>
          </w:p>
        </w:tc>
      </w:tr>
      <w:tr>
        <w:trPr>
          <w:cantSplit/>
        </w:trPr>
        <w:tc>
          <w:tcPr>
            <w:tcW w:type="dxa" w:w="1584"/>
          </w:tcPr>
          <w:p>
            <w:r>
              <w:t>Meaningful benchmark (paragraph (k))</w:t>
            </w:r>
          </w:p>
        </w:tc>
        <w:tc>
          <w:tcPr>
            <w:tcW w:type="dxa" w:w="2736"/>
          </w:tcPr>
          <w:p>
            <w:r>
              <w:t>none</w:t>
            </w:r>
          </w:p>
        </w:tc>
        <w:tc>
          <w:tcPr>
            <w:tcW w:type="dxa" w:w="1584"/>
          </w:tcPr>
          <w:p>
            <w:r/>
          </w:p>
        </w:tc>
        <w:tc>
          <w:tcPr>
            <w:tcW w:type="dxa" w:w="864"/>
          </w:tcPr>
          <w:p>
            <w:r/>
          </w:p>
        </w:tc>
        <w:tc>
          <w:tcPr>
            <w:tcW w:type="dxa" w:w="2592"/>
          </w:tcPr>
          <w:p>
            <w:r>
              <w:t>escalated: NO MEANINGFUL BENCHMARK CONSTRUCTIBLE for this pre-IPO and venture fund: its price is premium-driven and decoupled from NAV, so every candidate benchmarks the premium, not the portfolio. Required next: a NAV series from the filings and a premium to NAV decomposition before any comparator is defensible.</w:t>
            </w:r>
          </w:p>
        </w:tc>
      </w:tr>
      <w:tr>
        <w:trPr>
          <w:cantSplit/>
        </w:trPr>
        <w:tc>
          <w:tcPr>
            <w:tcW w:type="dxa" w:w="1584"/>
          </w:tcPr>
          <w:p>
            <w:r>
              <w:t>Declared benchmark</w:t>
            </w:r>
          </w:p>
        </w:tc>
        <w:tc>
          <w:tcPr>
            <w:tcW w:type="dxa" w:w="2736"/>
          </w:tcPr>
          <w:p>
            <w:r>
              <w:t>NASDAQ Composite Index</w:t>
            </w:r>
          </w:p>
        </w:tc>
        <w:tc>
          <w:tcPr>
            <w:tcW w:type="dxa" w:w="1584"/>
          </w:tcPr>
          <w:p>
            <w:r>
              <w:t>fund-declared benchmark or SEC-required comparator</w:t>
            </w:r>
          </w:p>
        </w:tc>
        <w:tc>
          <w:tcPr>
            <w:tcW w:type="dxa" w:w="864"/>
          </w:tcPr>
          <w:p>
            <w:r/>
          </w:p>
        </w:tc>
        <w:tc>
          <w:tcPr>
            <w:tcW w:type="dxa" w:w="2592"/>
          </w:tcPr>
          <w:p>
            <w:r>
              <w:t>cited, not held, scored 3 of 10, fund price decoupled from NAV</w:t>
            </w:r>
          </w:p>
        </w:tc>
      </w:tr>
      <w:tr>
        <w:trPr>
          <w:cantSplit/>
        </w:trPr>
        <w:tc>
          <w:tcPr>
            <w:tcW w:type="dxa" w:w="1584"/>
          </w:tcPr>
          <w:p>
            <w:r>
              <w:t>Peer comparison (paragraphs (g) and (h))</w:t>
            </w:r>
          </w:p>
        </w:tc>
        <w:tc>
          <w:tcPr>
            <w:tcW w:type="dxa" w:w="2736"/>
          </w:tcPr>
          <w:p>
            <w:r>
              <w:t>pre-IPO and venture cohort</w:t>
            </w:r>
          </w:p>
        </w:tc>
        <w:tc>
          <w:tcPr>
            <w:tcW w:type="dxa" w:w="1584"/>
          </w:tcPr>
          <w:p>
            <w:r>
              <w:t>peer cohort</w:t>
            </w:r>
          </w:p>
        </w:tc>
        <w:tc>
          <w:tcPr>
            <w:tcW w:type="dxa" w:w="864"/>
          </w:tcPr>
          <w:p>
            <w:r>
              <w:t>not scored</w:t>
            </w:r>
          </w:p>
        </w:tc>
        <w:tc>
          <w:tcPr>
            <w:tcW w:type="dxa" w:w="2592"/>
          </w:tcPr>
          <w:p>
            <w:r>
              <w:t>composite refused: fewer than 3 peers remain after leaving Destiny Tech100 Inc out (2: Neostellar Capital Corp., ARK Venture Fund)</w:t>
            </w:r>
          </w:p>
        </w:tc>
      </w:tr>
      <w:tr>
        <w:trPr>
          <w:cantSplit/>
        </w:trPr>
        <w:tc>
          <w:tcPr>
            <w:tcW w:type="dxa" w:w="1584"/>
          </w:tcPr>
          <w:p>
            <w:r>
              <w:t>rejected</w:t>
            </w:r>
          </w:p>
        </w:tc>
        <w:tc>
          <w:tcPr>
            <w:tcW w:type="dxa" w:w="2736"/>
          </w:tcPr>
          <w:p>
            <w:r>
              <w:t>Listed private equity investable proxy (PSP)</w:t>
            </w:r>
          </w:p>
        </w:tc>
        <w:tc>
          <w:tcPr>
            <w:tcW w:type="dxa" w:w="1584"/>
          </w:tcPr>
          <w:p>
            <w:r>
              <w:t>exchange-traded strategy proxy</w:t>
            </w:r>
          </w:p>
        </w:tc>
        <w:tc>
          <w:tcPr>
            <w:tcW w:type="dxa" w:w="864"/>
          </w:tcPr>
          <w:p>
            <w:r>
              <w:t>5 of 10</w:t>
            </w:r>
          </w:p>
        </w:tc>
        <w:tc>
          <w:tcPr>
            <w:tcW w:type="dxa" w:w="2592"/>
          </w:tcPr>
          <w:p>
            <w:r>
              <w:t>fund price is premium/discount-driven and decoupled from NAV. Benchmarking the price benchmarks the premium, not the portfolio</w:t>
            </w:r>
          </w:p>
        </w:tc>
      </w:tr>
      <w:tr>
        <w:trPr>
          <w:cantSplit/>
        </w:trPr>
        <w:tc>
          <w:tcPr>
            <w:tcW w:type="dxa" w:w="1584"/>
          </w:tcPr>
          <w:p>
            <w:r>
              <w:t>rejected</w:t>
            </w:r>
          </w:p>
        </w:tc>
        <w:tc>
          <w:tcPr>
            <w:tcW w:type="dxa" w:w="2736"/>
          </w:tcPr>
          <w:p>
            <w:r>
              <w:t>S&amp;P 500 investable proxy (SPY)</w:t>
            </w:r>
          </w:p>
        </w:tc>
        <w:tc>
          <w:tcPr>
            <w:tcW w:type="dxa" w:w="1584"/>
          </w:tcPr>
          <w:p>
            <w:r>
              <w:t>exchange-traded strategy proxy</w:t>
            </w:r>
          </w:p>
        </w:tc>
        <w:tc>
          <w:tcPr>
            <w:tcW w:type="dxa" w:w="864"/>
          </w:tcPr>
          <w:p>
            <w:r>
              <w:t>5 of 10</w:t>
            </w:r>
          </w:p>
        </w:tc>
        <w:tc>
          <w:tcPr>
            <w:tcW w:type="dxa" w:w="2592"/>
          </w:tcPr>
          <w:p>
            <w:r>
              <w:t>fund price is premium/discount-driven and decoupled from NAV. Benchmarking the price benchmarks the premium, not the portfolio</w:t>
            </w:r>
          </w:p>
        </w:tc>
      </w:tr>
      <w:tr>
        <w:trPr>
          <w:cantSplit/>
        </w:trPr>
        <w:tc>
          <w:tcPr>
            <w:tcW w:type="dxa" w:w="1584"/>
          </w:tcPr>
          <w:p>
            <w:r>
              <w:t>rejected</w:t>
            </w:r>
          </w:p>
        </w:tc>
        <w:tc>
          <w:tcPr>
            <w:tcW w:type="dxa" w:w="2736"/>
          </w:tcPr>
          <w:p>
            <w:r>
              <w:t>NASDAQ Composite Index</w:t>
            </w:r>
          </w:p>
        </w:tc>
        <w:tc>
          <w:tcPr>
            <w:tcW w:type="dxa" w:w="1584"/>
          </w:tcPr>
          <w:p>
            <w:r>
              <w:t>fund-declared benchmark or SEC-required comparator</w:t>
            </w:r>
          </w:p>
        </w:tc>
        <w:tc>
          <w:tcPr>
            <w:tcW w:type="dxa" w:w="864"/>
          </w:tcPr>
          <w:p>
            <w:r>
              <w:t>3 of 10</w:t>
            </w:r>
          </w:p>
        </w:tc>
        <w:tc>
          <w:tcPr>
            <w:tcW w:type="dxa" w:w="2592"/>
          </w:tcPr>
          <w:p>
            <w:r>
              <w:t>fund price is premium/discount-driven and decoupled from NAV. Benchmarking the price benchmarks the premium, not the portfolio</w:t>
            </w:r>
          </w:p>
        </w:tc>
      </w:tr>
    </w:tbl>
    <w:p>
      <w:pPr>
        <w:keepNext/>
      </w:pPr>
      <w:r>
        <w:t>The rubric's criteria, 10 points in all:</w:t>
      </w:r>
    </w:p>
    <w:tbl>
      <w:tblPr>
        <w:tblStyle w:val="TableGrid"/>
        <w:tblW w:type="dxa" w:w="9360"/>
        <w:tblLayout w:type="fixed"/>
        <w:tblLook w:firstColumn="1" w:firstRow="1" w:lastColumn="0" w:lastRow="0" w:noHBand="0" w:noVBand="1" w:val="04A0"/>
      </w:tblPr>
      <w:tblGrid>
        <w:gridCol w:w="2592"/>
        <w:gridCol w:w="1008"/>
        <w:gridCol w:w="5760"/>
      </w:tblGrid>
      <w:tr>
        <w:trPr>
          <w:tblHeader/>
          <w:cantSplit/>
        </w:trPr>
        <w:tc>
          <w:tcPr>
            <w:tcW w:type="dxa" w:w="2592"/>
          </w:tcPr>
          <w:p>
            <w:r>
              <w:t>Criterion</w:t>
            </w:r>
          </w:p>
        </w:tc>
        <w:tc>
          <w:tcPr>
            <w:tcW w:type="dxa" w:w="1008"/>
          </w:tcPr>
          <w:p>
            <w:r>
              <w:t>Points</w:t>
            </w:r>
          </w:p>
        </w:tc>
        <w:tc>
          <w:tcPr>
            <w:tcW w:type="dxa" w:w="5760"/>
          </w:tcPr>
          <w:p>
            <w:r>
              <w:t>Definition</w:t>
            </w:r>
          </w:p>
        </w:tc>
      </w:tr>
      <w:tr>
        <w:trPr>
          <w:cantSplit/>
        </w:trPr>
        <w:tc>
          <w:tcPr>
            <w:tcW w:type="dxa" w:w="2592"/>
          </w:tcPr>
          <w:p>
            <w:r>
              <w:t>Strategy match</w:t>
            </w:r>
          </w:p>
        </w:tc>
        <w:tc>
          <w:tcPr>
            <w:tcW w:type="dxa" w:w="1008"/>
          </w:tcPr>
          <w:p>
            <w:r>
              <w:t>3</w:t>
            </w:r>
          </w:p>
        </w:tc>
        <w:tc>
          <w:tcPr>
            <w:tcW w:type="dxa" w:w="5760"/>
          </w:tcPr>
          <w:p>
            <w:r>
              <w:t>how closely the candidate's asset class and sub-strategy match the fund's, 3 for the same sub-strategy, 2 for the same asset class, 1 for an adjacent one</w:t>
            </w:r>
          </w:p>
        </w:tc>
      </w:tr>
      <w:tr>
        <w:trPr>
          <w:cantSplit/>
        </w:trPr>
        <w:tc>
          <w:tcPr>
            <w:tcW w:type="dxa" w:w="2592"/>
          </w:tcPr>
          <w:p>
            <w:r>
              <w:t>Risk and liquidity match</w:t>
            </w:r>
          </w:p>
        </w:tc>
        <w:tc>
          <w:tcPr>
            <w:tcW w:type="dxa" w:w="1008"/>
          </w:tcPr>
          <w:p>
            <w:r>
              <w:t>3</w:t>
            </w:r>
          </w:p>
        </w:tc>
        <w:tc>
          <w:tcPr>
            <w:tcW w:type="dxa" w:w="5760"/>
          </w:tcPr>
          <w:p>
            <w:r>
              <w:t>whether the candidate's liquidity process matches the fund's dealing terms on record (cadence, caps, gating, program status), 3 for a like-for-like process</w:t>
            </w:r>
          </w:p>
        </w:tc>
      </w:tr>
      <w:tr>
        <w:trPr>
          <w:cantSplit/>
        </w:trPr>
        <w:tc>
          <w:tcPr>
            <w:tcW w:type="dxa" w:w="2592"/>
          </w:tcPr>
          <w:p>
            <w:r>
              <w:t>Provider independence</w:t>
            </w:r>
          </w:p>
        </w:tc>
        <w:tc>
          <w:tcPr>
            <w:tcW w:type="dxa" w:w="1008"/>
          </w:tcPr>
          <w:p>
            <w:r>
              <w:t>2</w:t>
            </w:r>
          </w:p>
        </w:tc>
        <w:tc>
          <w:tcPr>
            <w:tcW w:type="dxa" w:w="5760"/>
          </w:tcPr>
          <w:p>
            <w:r>
              <w:t>2 unless the registry's affiliation map ties the candidate's publisher to one of the fund's advisers, in which case 0 and the candidate is ineligible</w:t>
            </w:r>
          </w:p>
        </w:tc>
      </w:tr>
      <w:tr>
        <w:trPr>
          <w:cantSplit/>
        </w:trPr>
        <w:tc>
          <w:tcPr>
            <w:tcW w:type="dxa" w:w="2592"/>
          </w:tcPr>
          <w:p>
            <w:r>
              <w:t>Data held</w:t>
            </w:r>
          </w:p>
        </w:tc>
        <w:tc>
          <w:tcPr>
            <w:tcW w:type="dxa" w:w="1008"/>
          </w:tcPr>
          <w:p>
            <w:r>
              <w:t>2</w:t>
            </w:r>
          </w:p>
        </w:tc>
        <w:tc>
          <w:tcPr>
            <w:tcW w:type="dxa" w:w="5760"/>
          </w:tcPr>
          <w:p>
            <w:r>
              <w:t>2 when the candidate's series is in the record, 0 when it is only cited</w:t>
            </w:r>
          </w:p>
        </w:tc>
      </w:tr>
    </w:tbl>
    <w:p>
      <w:r>
        <w:t>Metrics, each defined once: KS-PME: the fund's growth divided by the growth of the same cash in the public market series over the same window (Kaplan-Schoar public market equivalent). Above 1.0 the fund led the series. Direct Alpha: the fund's annualized excess return over the public market series on the same two flows (Gredil, Griffiths and Stucke). Zero is series-like. relative wealth ratio: the fund's cumulative growth divided by the comparator's over identical periods. Above 1.0 the fund grew more. Not a PME: the comparator is appraisal-based and cannot be bought.</w:t>
      </w:r>
    </w:p>
    <w:p>
      <w:pPr>
        <w:pStyle w:val="Heading2"/>
        <w:keepNext/>
      </w:pPr>
      <w:r>
        <w:t>ESCALATION: no meaningful benchmark constructible</w:t>
      </w:r>
    </w:p>
    <w:p>
      <w:r>
        <w:t>NO MEANINGFUL BENCHMARK CONSTRUCTIBLE for this pre-IPO and venture fund: its price is premium-driven and decoupled from NAV, so every candidate benchmarks the premium, not the portfolio. Required next: a NAV series from the filings and a premium to NAV decomposition before any comparator is defensible.</w:t>
      </w:r>
    </w:p>
    <w:p>
      <w:r>
        <w:t>No meaningful benchmark could be constructed from the data held. The record cannot support the paragraph (k) comparison until one is identified. This record does not decide.</w:t>
      </w:r>
    </w:p>
    <w:p>
      <w:pPr>
        <w:pStyle w:val="Heading2"/>
        <w:keepNext/>
      </w:pPr>
      <w:r>
        <w:t>Declared benchmark and SEC-required comparators (cell 5.1)</w:t>
      </w:r>
    </w:p>
    <w:p>
      <w:r>
        <w:t>Declared benchmark: NASDAQ Composite Index, cited, not held, scored 3 of 10, fund price decoupled from NAV. The declaration itself earns no points.</w:t>
      </w:r>
    </w:p>
    <w:p>
      <w:r>
        <w:t>No comparison: fund price is premium-driven and decoupled from NAV: no comparison on a market-price series, it would benchmark the premium, not the portfolio.</w:t>
      </w:r>
    </w:p>
    <w:p>
      <w:pPr>
        <w:pStyle w:val="Heading2"/>
        <w:keepNext/>
      </w:pPr>
      <w:r>
        <w:t>Peer comparison (paragraphs (g) and (h)): pre-IPO and venture cohort</w:t>
      </w:r>
    </w:p>
    <w:p>
      <w:r>
        <w:t>Peers: Neostellar Capital Corp., ARK Venture Fund. This is the history of similar investments, not the benchmark, and it is never a public market equivalent.</w:t>
      </w:r>
    </w:p>
    <w:p>
      <w:pPr>
        <w:keepNext/>
      </w:pPr>
      <w:r>
        <w:t>Composite refused: fewer than 3 peers remain after leaving Destiny Tech100 Inc out (2: Neostellar Capital Corp., ARK Venture Fund). The side-by-side table is shown without a ratio.</w:t>
      </w:r>
    </w:p>
    <w:tbl>
      <w:tblPr>
        <w:tblStyle w:val="TableGrid"/>
        <w:tblW w:type="dxa" w:w="9360"/>
        <w:tblLayout w:type="fixed"/>
        <w:tblLook w:firstColumn="1" w:firstRow="1" w:lastColumn="0" w:lastRow="0" w:noHBand="0" w:noVBand="1" w:val="04A0"/>
      </w:tblPr>
      <w:tblGrid>
        <w:gridCol w:w="1296"/>
        <w:gridCol w:w="576"/>
        <w:gridCol w:w="2496"/>
        <w:gridCol w:w="2496"/>
        <w:gridCol w:w="2496"/>
      </w:tblGrid>
      <w:tr>
        <w:trPr>
          <w:tblHeader/>
          <w:cantSplit/>
        </w:trPr>
        <w:tc>
          <w:tcPr>
            <w:tcW w:type="dxa" w:w="1296"/>
          </w:tcPr>
          <w:p>
            <w:r>
              <w:t>Period</w:t>
            </w:r>
          </w:p>
        </w:tc>
        <w:tc>
          <w:tcPr>
            <w:tcW w:type="dxa" w:w="576"/>
          </w:tcPr>
          <w:p>
            <w:r>
              <w:t>n</w:t>
            </w:r>
          </w:p>
        </w:tc>
        <w:tc>
          <w:tcPr>
            <w:tcW w:type="dxa" w:w="2496"/>
          </w:tcPr>
          <w:p>
            <w:r>
              <w:t>Destiny Tech100 Inc</w:t>
            </w:r>
          </w:p>
        </w:tc>
        <w:tc>
          <w:tcPr>
            <w:tcW w:type="dxa" w:w="2496"/>
          </w:tcPr>
          <w:p>
            <w:r>
              <w:t>Neostellar Capital Corp.</w:t>
            </w:r>
          </w:p>
        </w:tc>
        <w:tc>
          <w:tcPr>
            <w:tcW w:type="dxa" w:w="2496"/>
          </w:tcPr>
          <w:p>
            <w:r>
              <w:t>ARK Venture Fund</w:t>
            </w:r>
          </w:p>
        </w:tc>
      </w:tr>
      <w:tr>
        <w:trPr>
          <w:cantSplit/>
        </w:trPr>
        <w:tc>
          <w:tcPr>
            <w:tcW w:type="dxa" w:w="1296"/>
          </w:tcPr>
          <w:p>
            <w:r>
              <w:t>2017</w:t>
            </w:r>
          </w:p>
        </w:tc>
        <w:tc>
          <w:tcPr>
            <w:tcW w:type="dxa" w:w="576"/>
          </w:tcPr>
          <w:p>
            <w:r>
              <w:t>1</w:t>
            </w:r>
          </w:p>
        </w:tc>
        <w:tc>
          <w:tcPr>
            <w:tcW w:type="dxa" w:w="2496"/>
          </w:tcPr>
          <w:p>
            <w:r>
              <w:t>n/a</w:t>
            </w:r>
          </w:p>
        </w:tc>
        <w:tc>
          <w:tcPr>
            <w:tcW w:type="dxa" w:w="2496"/>
          </w:tcPr>
          <w:p>
            <w:r>
              <w:t>8.35%</w:t>
            </w:r>
          </w:p>
        </w:tc>
        <w:tc>
          <w:tcPr>
            <w:tcW w:type="dxa" w:w="2496"/>
          </w:tcPr>
          <w:p>
            <w:r>
              <w:t>n/a</w:t>
            </w:r>
          </w:p>
        </w:tc>
      </w:tr>
      <w:tr>
        <w:trPr>
          <w:cantSplit/>
        </w:trPr>
        <w:tc>
          <w:tcPr>
            <w:tcW w:type="dxa" w:w="1296"/>
          </w:tcPr>
          <w:p>
            <w:r>
              <w:t>2018</w:t>
            </w:r>
          </w:p>
        </w:tc>
        <w:tc>
          <w:tcPr>
            <w:tcW w:type="dxa" w:w="576"/>
          </w:tcPr>
          <w:p>
            <w:r>
              <w:t>1</w:t>
            </w:r>
          </w:p>
        </w:tc>
        <w:tc>
          <w:tcPr>
            <w:tcW w:type="dxa" w:w="2496"/>
          </w:tcPr>
          <w:p>
            <w:r>
              <w:t>n/a</w:t>
            </w:r>
          </w:p>
        </w:tc>
        <w:tc>
          <w:tcPr>
            <w:tcW w:type="dxa" w:w="2496"/>
          </w:tcPr>
          <w:p>
            <w:r>
              <w:t>-4.22%</w:t>
            </w:r>
          </w:p>
        </w:tc>
        <w:tc>
          <w:tcPr>
            <w:tcW w:type="dxa" w:w="2496"/>
          </w:tcPr>
          <w:p>
            <w:r>
              <w:t>n/a</w:t>
            </w:r>
          </w:p>
        </w:tc>
      </w:tr>
      <w:tr>
        <w:trPr>
          <w:cantSplit/>
        </w:trPr>
        <w:tc>
          <w:tcPr>
            <w:tcW w:type="dxa" w:w="1296"/>
          </w:tcPr>
          <w:p>
            <w:r>
              <w:t>2019</w:t>
            </w:r>
          </w:p>
        </w:tc>
        <w:tc>
          <w:tcPr>
            <w:tcW w:type="dxa" w:w="576"/>
          </w:tcPr>
          <w:p>
            <w:r>
              <w:t>1</w:t>
            </w:r>
          </w:p>
        </w:tc>
        <w:tc>
          <w:tcPr>
            <w:tcW w:type="dxa" w:w="2496"/>
          </w:tcPr>
          <w:p>
            <w:r>
              <w:t>n/a</w:t>
            </w:r>
          </w:p>
        </w:tc>
        <w:tc>
          <w:tcPr>
            <w:tcW w:type="dxa" w:w="2496"/>
          </w:tcPr>
          <w:p>
            <w:r>
              <w:t>31.56%</w:t>
            </w:r>
          </w:p>
        </w:tc>
        <w:tc>
          <w:tcPr>
            <w:tcW w:type="dxa" w:w="2496"/>
          </w:tcPr>
          <w:p>
            <w:r>
              <w:t>n/a</w:t>
            </w:r>
          </w:p>
        </w:tc>
      </w:tr>
      <w:tr>
        <w:trPr>
          <w:cantSplit/>
        </w:trPr>
        <w:tc>
          <w:tcPr>
            <w:tcW w:type="dxa" w:w="1296"/>
          </w:tcPr>
          <w:p>
            <w:r>
              <w:t>2020</w:t>
            </w:r>
          </w:p>
        </w:tc>
        <w:tc>
          <w:tcPr>
            <w:tcW w:type="dxa" w:w="576"/>
          </w:tcPr>
          <w:p>
            <w:r>
              <w:t>1</w:t>
            </w:r>
          </w:p>
        </w:tc>
        <w:tc>
          <w:tcPr>
            <w:tcW w:type="dxa" w:w="2496"/>
          </w:tcPr>
          <w:p>
            <w:r>
              <w:t>n/a</w:t>
            </w:r>
          </w:p>
        </w:tc>
        <w:tc>
          <w:tcPr>
            <w:tcW w:type="dxa" w:w="2496"/>
          </w:tcPr>
          <w:p>
            <w:r>
              <w:t>116.63%</w:t>
            </w:r>
          </w:p>
        </w:tc>
        <w:tc>
          <w:tcPr>
            <w:tcW w:type="dxa" w:w="2496"/>
          </w:tcPr>
          <w:p>
            <w:r>
              <w:t>n/a</w:t>
            </w:r>
          </w:p>
        </w:tc>
      </w:tr>
      <w:tr>
        <w:trPr>
          <w:cantSplit/>
        </w:trPr>
        <w:tc>
          <w:tcPr>
            <w:tcW w:type="dxa" w:w="1296"/>
          </w:tcPr>
          <w:p>
            <w:r>
              <w:t>2021</w:t>
            </w:r>
          </w:p>
        </w:tc>
        <w:tc>
          <w:tcPr>
            <w:tcW w:type="dxa" w:w="576"/>
          </w:tcPr>
          <w:p>
            <w:r>
              <w:t>1</w:t>
            </w:r>
          </w:p>
        </w:tc>
        <w:tc>
          <w:tcPr>
            <w:tcW w:type="dxa" w:w="2496"/>
          </w:tcPr>
          <w:p>
            <w:r>
              <w:t>n/a</w:t>
            </w:r>
          </w:p>
        </w:tc>
        <w:tc>
          <w:tcPr>
            <w:tcW w:type="dxa" w:w="2496"/>
          </w:tcPr>
          <w:p>
            <w:r>
              <w:t>72.61%</w:t>
            </w:r>
          </w:p>
        </w:tc>
        <w:tc>
          <w:tcPr>
            <w:tcW w:type="dxa" w:w="2496"/>
          </w:tcPr>
          <w:p>
            <w:r>
              <w:t>n/a</w:t>
            </w:r>
          </w:p>
        </w:tc>
      </w:tr>
      <w:tr>
        <w:trPr>
          <w:cantSplit/>
        </w:trPr>
        <w:tc>
          <w:tcPr>
            <w:tcW w:type="dxa" w:w="1296"/>
          </w:tcPr>
          <w:p>
            <w:r>
              <w:t>2022</w:t>
            </w:r>
          </w:p>
        </w:tc>
        <w:tc>
          <w:tcPr>
            <w:tcW w:type="dxa" w:w="576"/>
          </w:tcPr>
          <w:p>
            <w:r>
              <w:t>1</w:t>
            </w:r>
          </w:p>
        </w:tc>
        <w:tc>
          <w:tcPr>
            <w:tcW w:type="dxa" w:w="2496"/>
          </w:tcPr>
          <w:p>
            <w:r>
              <w:t>n/a</w:t>
            </w:r>
          </w:p>
        </w:tc>
        <w:tc>
          <w:tcPr>
            <w:tcW w:type="dxa" w:w="2496"/>
          </w:tcPr>
          <w:p>
            <w:r>
              <w:t>-70.31%</w:t>
            </w:r>
          </w:p>
        </w:tc>
        <w:tc>
          <w:tcPr>
            <w:tcW w:type="dxa" w:w="2496"/>
          </w:tcPr>
          <w:p>
            <w:r>
              <w:t>n/a</w:t>
            </w:r>
          </w:p>
        </w:tc>
      </w:tr>
      <w:tr>
        <w:trPr>
          <w:cantSplit/>
        </w:trPr>
        <w:tc>
          <w:tcPr>
            <w:tcW w:type="dxa" w:w="1296"/>
          </w:tcPr>
          <w:p>
            <w:r>
              <w:t>2023</w:t>
            </w:r>
          </w:p>
        </w:tc>
        <w:tc>
          <w:tcPr>
            <w:tcW w:type="dxa" w:w="576"/>
          </w:tcPr>
          <w:p>
            <w:r>
              <w:t>2</w:t>
            </w:r>
          </w:p>
        </w:tc>
        <w:tc>
          <w:tcPr>
            <w:tcW w:type="dxa" w:w="2496"/>
          </w:tcPr>
          <w:p>
            <w:r>
              <w:t>n/a</w:t>
            </w:r>
          </w:p>
        </w:tc>
        <w:tc>
          <w:tcPr>
            <w:tcW w:type="dxa" w:w="2496"/>
          </w:tcPr>
          <w:p>
            <w:r>
              <w:t>3.68%</w:t>
            </w:r>
          </w:p>
        </w:tc>
        <w:tc>
          <w:tcPr>
            <w:tcW w:type="dxa" w:w="2496"/>
          </w:tcPr>
          <w:p>
            <w:r>
              <w:t>61.25%</w:t>
            </w:r>
          </w:p>
        </w:tc>
      </w:tr>
      <w:tr>
        <w:trPr>
          <w:cantSplit/>
        </w:trPr>
        <w:tc>
          <w:tcPr>
            <w:tcW w:type="dxa" w:w="1296"/>
          </w:tcPr>
          <w:p>
            <w:r>
              <w:t>2024</w:t>
            </w:r>
          </w:p>
        </w:tc>
        <w:tc>
          <w:tcPr>
            <w:tcW w:type="dxa" w:w="576"/>
          </w:tcPr>
          <w:p>
            <w:r>
              <w:t>2</w:t>
            </w:r>
          </w:p>
        </w:tc>
        <w:tc>
          <w:tcPr>
            <w:tcW w:type="dxa" w:w="2496"/>
          </w:tcPr>
          <w:p>
            <w:r>
              <w:t>n/a</w:t>
            </w:r>
          </w:p>
        </w:tc>
        <w:tc>
          <w:tcPr>
            <w:tcW w:type="dxa" w:w="2496"/>
          </w:tcPr>
          <w:p>
            <w:r>
              <w:t>49.24%</w:t>
            </w:r>
          </w:p>
        </w:tc>
        <w:tc>
          <w:tcPr>
            <w:tcW w:type="dxa" w:w="2496"/>
          </w:tcPr>
          <w:p>
            <w:r>
              <w:t>6.69%</w:t>
            </w:r>
          </w:p>
        </w:tc>
      </w:tr>
      <w:tr>
        <w:trPr>
          <w:cantSplit/>
        </w:trPr>
        <w:tc>
          <w:tcPr>
            <w:tcW w:type="dxa" w:w="1296"/>
          </w:tcPr>
          <w:p>
            <w:r>
              <w:t>2025</w:t>
            </w:r>
          </w:p>
        </w:tc>
        <w:tc>
          <w:tcPr>
            <w:tcW w:type="dxa" w:w="576"/>
          </w:tcPr>
          <w:p>
            <w:r>
              <w:t>3</w:t>
            </w:r>
          </w:p>
        </w:tc>
        <w:tc>
          <w:tcPr>
            <w:tcW w:type="dxa" w:w="2496"/>
          </w:tcPr>
          <w:p>
            <w:r>
              <w:t>-47.96%</w:t>
            </w:r>
          </w:p>
        </w:tc>
        <w:tc>
          <w:tcPr>
            <w:tcW w:type="dxa" w:w="2496"/>
          </w:tcPr>
          <w:p>
            <w:r>
              <w:t>69.91%</w:t>
            </w:r>
          </w:p>
        </w:tc>
        <w:tc>
          <w:tcPr>
            <w:tcW w:type="dxa" w:w="2496"/>
          </w:tcPr>
          <w:p>
            <w:r>
              <w:t>55.68%</w:t>
            </w:r>
          </w:p>
        </w:tc>
      </w:tr>
    </w:tbl>
    <w:p>
      <w:r>
        <w:t>The cohort is the roster's 3 surviving, still-filing products. Funds that closed, merged, or stopped filing are not in it, so any composite carries survivorship bias in the fund's favor. Membership rationales and exclusions are in the roster record.</w:t>
      </w:r>
    </w:p>
    <w:p>
      <w:r>
        <w:t>Members span 3 wrapper types (interval fund (Rule 23c-3), listed BDC, listed closed-end fund) and 2 leverage regimes (1940-Act asset-coverage limits, BDC 150% asset-coverage regime). Fee bases, leverage and exit rights are not like-for-like, so the comparison is a history of similar investments, not a like-for-like index.</w:t>
      </w:r>
    </w:p>
    <w:p>
      <w:pPr>
        <w:pStyle w:val="Heading2"/>
        <w:keepNext/>
      </w:pPr>
      <w:r>
        <w:t>Rejection log (candidates considered and not selected)</w:t>
      </w:r>
    </w:p>
    <w:tbl>
      <w:tblPr>
        <w:tblStyle w:val="TableGrid"/>
        <w:tblW w:type="dxa" w:w="9360"/>
        <w:tblLayout w:type="fixed"/>
        <w:tblLook w:firstColumn="1" w:firstRow="1" w:lastColumn="0" w:lastRow="0" w:noHBand="0" w:noVBand="1" w:val="04A0"/>
      </w:tblPr>
      <w:tblGrid>
        <w:gridCol w:w="2880"/>
        <w:gridCol w:w="1008"/>
        <w:gridCol w:w="5472"/>
      </w:tblGrid>
      <w:tr>
        <w:trPr>
          <w:tblHeader/>
          <w:cantSplit/>
        </w:trPr>
        <w:tc>
          <w:tcPr>
            <w:tcW w:type="dxa" w:w="2880"/>
          </w:tcPr>
          <w:p>
            <w:r>
              <w:t>Candidate</w:t>
            </w:r>
          </w:p>
        </w:tc>
        <w:tc>
          <w:tcPr>
            <w:tcW w:type="dxa" w:w="1008"/>
          </w:tcPr>
          <w:p>
            <w:r>
              <w:t>Score</w:t>
            </w:r>
          </w:p>
        </w:tc>
        <w:tc>
          <w:tcPr>
            <w:tcW w:type="dxa" w:w="5472"/>
          </w:tcPr>
          <w:p>
            <w:r>
              <w:t>Reason and criteria</w:t>
            </w:r>
          </w:p>
        </w:tc>
      </w:tr>
      <w:tr>
        <w:trPr>
          <w:cantSplit/>
        </w:trPr>
        <w:tc>
          <w:tcPr>
            <w:tcW w:type="dxa" w:w="2880"/>
          </w:tcPr>
          <w:p>
            <w:r>
              <w:t>Listed private equity investable proxy (PSP)</w:t>
            </w:r>
          </w:p>
        </w:tc>
        <w:tc>
          <w:tcPr>
            <w:tcW w:type="dxa" w:w="1008"/>
          </w:tcPr>
          <w:p>
            <w:r>
              <w:t>5 of 10</w:t>
            </w:r>
          </w:p>
        </w:tc>
        <w:tc>
          <w:tcPr>
            <w:tcW w:type="dxa" w:w="5472"/>
          </w:tcPr>
          <w:p>
            <w:r>
              <w:t>fund price is premium/discount-driven and decoupled from NAV. Benchmarking the price benchmarks the premium, not the portfolio. Criteria: Strategy match 1 of 3: adjacent asset class sharing the dominant risk (listed private equity for pre-IPO holdings in a listed closed-end fund), Risk and liquidity match 0 of 3: fund price is premium-driven and decoupled from NAV, no candidate matches that risk process (fund terms: exchange-traded, continuous dealing at the market price), Provider independence 2 of 2: provider unaffiliated with the fund (Invesco / Red Rocks): the registry affiliation map ties it to none of the fund's advisers, Data held 2 of 2: daily public market series held (exchange-traded proxy, Yahoo adjusted close).</w:t>
            </w:r>
          </w:p>
        </w:tc>
      </w:tr>
      <w:tr>
        <w:trPr>
          <w:cantSplit/>
        </w:trPr>
        <w:tc>
          <w:tcPr>
            <w:tcW w:type="dxa" w:w="2880"/>
          </w:tcPr>
          <w:p>
            <w:r>
              <w:t>S&amp;P 500 investable proxy (SPY)</w:t>
            </w:r>
          </w:p>
        </w:tc>
        <w:tc>
          <w:tcPr>
            <w:tcW w:type="dxa" w:w="1008"/>
          </w:tcPr>
          <w:p>
            <w:r>
              <w:t>5 of 10</w:t>
            </w:r>
          </w:p>
        </w:tc>
        <w:tc>
          <w:tcPr>
            <w:tcW w:type="dxa" w:w="5472"/>
          </w:tcPr>
          <w:p>
            <w:r>
              <w:t>fund price is premium/discount-driven and decoupled from NAV. Benchmarking the price benchmarks the premium, not the portfolio. Criteria: Strategy match 1 of 3: adjacent asset class sharing the dominant risk (US large cap for pre-IPO holdings in a listed closed-end fund), Risk and liquidity match 0 of 3: fund price is premium-driven and decoupled from NAV, no candidate matches that risk process (fund terms: exchange-traded, continuous dealing at the market price), Provider independence 2 of 2: provider unaffiliated with the fund (SPDR / S&amp;P DJI): the registry affiliation map ties it to none of the fund's advisers, Data held 2 of 2: daily public market series held (exchange-traded proxy, Yahoo adjusted close).</w:t>
            </w:r>
          </w:p>
        </w:tc>
      </w:tr>
      <w:tr>
        <w:trPr>
          <w:cantSplit/>
        </w:trPr>
        <w:tc>
          <w:tcPr>
            <w:tcW w:type="dxa" w:w="2880"/>
          </w:tcPr>
          <w:p>
            <w:r>
              <w:t>NASDAQ Composite Index</w:t>
            </w:r>
          </w:p>
        </w:tc>
        <w:tc>
          <w:tcPr>
            <w:tcW w:type="dxa" w:w="1008"/>
          </w:tcPr>
          <w:p>
            <w:r>
              <w:t>3 of 10</w:t>
            </w:r>
          </w:p>
        </w:tc>
        <w:tc>
          <w:tcPr>
            <w:tcW w:type="dxa" w:w="5472"/>
          </w:tcPr>
          <w:p>
            <w:r>
              <w:t>fund price is premium/discount-driven and decoupled from NAV. Benchmarking the price benchmarks the premium, not the portfolio. Criteria: Strategy match 1 of 3: adjacent asset class sharing the dominant risk (NASDAQ Composite for pre-IPO holdings in a listed closed-end fund), Risk and liquidity match 0 of 3: fund price is premium-driven and decoupled from NAV, no candidate matches that risk process (fund terms: exchange-traded, continuous dealing at the market price), Provider independence 2 of 2: provider unaffiliated with the fund (Nasdaq): the registry affiliation map ties it to none of the fund's advisers, Data held 0 of 2: cited, series not in the record: no comparison can be computed yet.</w:t>
            </w:r>
          </w:p>
        </w:tc>
      </w:tr>
    </w:tbl>
    <w:p>
      <w:pPr>
        <w:pStyle w:val="Heading1"/>
        <w:keepNext/>
      </w:pPr>
      <w:r>
        <w:t>Product-to-plan liquidity match</w:t>
      </w:r>
    </w:p>
    <w:p>
      <w:r>
        <w:t>Plan: US media/technology company 401(k) plan (~$570M, New York). The structural verdict reads the dealing terms on record (cells 3.1, 3.3, 2.7, plan-independent). The scenario verdict is ILLUSTRATIVE (the plan's filed outflow proxy as the base demand and the turnover assumptions as the stress, against the same capacity, per plan).</w:t>
      </w:r>
    </w:p>
    <w:p>
      <w:pPr>
        <w:pStyle w:val="Heading2"/>
        <w:keepNext/>
      </w:pPr>
      <w:r>
        <w:t>Structural verdict (dealing terms on record, plan-independent)</w:t>
      </w:r>
    </w:p>
    <w:p>
      <w:r>
        <w:t>ALIGNED-MECHANICAL</w:t>
      </w:r>
    </w:p>
    <w:p>
      <w:pPr>
        <w:pStyle w:val="ListBullet"/>
      </w:pPr>
      <w:r>
        <w:t>Daily exchange liquidity mechanically satisfies daily participant dealing (3.1).</w:t>
      </w:r>
    </w:p>
    <w:p>
      <w:pPr>
        <w:pStyle w:val="ListBullet"/>
        <w:keepNext/>
      </w:pPr>
      <w:r>
        <w:t>BUT price-vs-NAV decoupling means participants transact at the premium or discount, not at portfolio value. The liquidity is real, the price basis is not (1.10, 4.7).</w:t>
      </w:r>
    </w:p>
    <w:tbl>
      <w:tblPr>
        <w:tblStyle w:val="TableGrid"/>
        <w:tblW w:type="dxa" w:w="9360"/>
        <w:tblLayout w:type="fixed"/>
        <w:tblLook w:firstColumn="1" w:firstRow="1" w:lastColumn="0" w:lastRow="0" w:noHBand="0" w:noVBand="1" w:val="04A0"/>
      </w:tblPr>
      <w:tblGrid>
        <w:gridCol w:w="2448"/>
        <w:gridCol w:w="5760"/>
        <w:gridCol w:w="1152"/>
      </w:tblGrid>
      <w:tr>
        <w:trPr>
          <w:tblHeader/>
          <w:cantSplit/>
        </w:trPr>
        <w:tc>
          <w:tcPr>
            <w:tcW w:type="dxa" w:w="2448"/>
          </w:tcPr>
          <w:p>
            <w:r>
              <w:t>Wrapper fact</w:t>
            </w:r>
          </w:p>
        </w:tc>
        <w:tc>
          <w:tcPr>
            <w:tcW w:type="dxa" w:w="5760"/>
          </w:tcPr>
          <w:p>
            <w:r>
              <w:t>Value</w:t>
            </w:r>
          </w:p>
        </w:tc>
        <w:tc>
          <w:tcPr>
            <w:tcW w:type="dxa" w:w="1152"/>
          </w:tcPr>
          <w:p>
            <w:r>
              <w:t>Cell</w:t>
            </w:r>
          </w:p>
        </w:tc>
      </w:tr>
      <w:tr>
        <w:trPr>
          <w:cantSplit/>
        </w:trPr>
        <w:tc>
          <w:tcPr>
            <w:tcW w:type="dxa" w:w="2448"/>
          </w:tcPr>
          <w:p>
            <w:r>
              <w:t>Wrapper</w:t>
            </w:r>
          </w:p>
        </w:tc>
        <w:tc>
          <w:tcPr>
            <w:tcW w:type="dxa" w:w="5760"/>
          </w:tcPr>
          <w:p>
            <w:r>
              <w:t>listed closed-end fund</w:t>
            </w:r>
          </w:p>
        </w:tc>
        <w:tc>
          <w:tcPr>
            <w:tcW w:type="dxa" w:w="1152"/>
          </w:tcPr>
          <w:p>
            <w:r>
              <w:t>6.1</w:t>
            </w:r>
          </w:p>
        </w:tc>
      </w:tr>
      <w:tr>
        <w:trPr>
          <w:cantSplit/>
        </w:trPr>
        <w:tc>
          <w:tcPr>
            <w:tcW w:type="dxa" w:w="2448"/>
          </w:tcPr>
          <w:p>
            <w:r>
              <w:t>Dealing terms</w:t>
            </w:r>
          </w:p>
        </w:tc>
        <w:tc>
          <w:tcPr>
            <w:tcW w:type="dxa" w:w="5760"/>
          </w:tcPr>
          <w:p>
            <w:r>
              <w:t>daily on-exchange dealing, no fund-level cap (3.1)</w:t>
            </w:r>
          </w:p>
        </w:tc>
        <w:tc>
          <w:tcPr>
            <w:tcW w:type="dxa" w:w="1152"/>
          </w:tcPr>
          <w:p>
            <w:r>
              <w:t>3.1</w:t>
            </w:r>
          </w:p>
        </w:tc>
      </w:tr>
      <w:tr>
        <w:trPr>
          <w:cantSplit/>
        </w:trPr>
        <w:tc>
          <w:tcPr>
            <w:tcW w:type="dxa" w:w="2448"/>
          </w:tcPr>
          <w:p>
            <w:r>
              <w:t>Repurchase caps</w:t>
            </w:r>
          </w:p>
        </w:tc>
        <w:tc>
          <w:tcPr>
            <w:tcW w:type="dxa" w:w="5760"/>
          </w:tcPr>
          <w:p>
            <w:r>
              <w:t>no fund-level cap, capacity is market depth</w:t>
            </w:r>
          </w:p>
        </w:tc>
        <w:tc>
          <w:tcPr>
            <w:tcW w:type="dxa" w:w="1152"/>
          </w:tcPr>
          <w:p>
            <w:r>
              <w:t>3.1</w:t>
            </w:r>
          </w:p>
        </w:tc>
      </w:tr>
      <w:tr>
        <w:trPr>
          <w:cantSplit/>
        </w:trPr>
        <w:tc>
          <w:tcPr>
            <w:tcW w:type="dxa" w:w="2448"/>
          </w:tcPr>
          <w:p>
            <w:r>
              <w:t>Annual capacity (binding cap)</w:t>
            </w:r>
          </w:p>
        </w:tc>
        <w:tc>
          <w:tcPr>
            <w:tcW w:type="dxa" w:w="5760"/>
          </w:tcPr>
          <w:p>
            <w:r>
              <w:t>not on record: on-exchange liquidity with no fund-level cap</w:t>
            </w:r>
          </w:p>
        </w:tc>
        <w:tc>
          <w:tcPr>
            <w:tcW w:type="dxa" w:w="1152"/>
          </w:tcPr>
          <w:p>
            <w:r>
              <w:t>3.1</w:t>
            </w:r>
          </w:p>
        </w:tc>
      </w:tr>
      <w:tr>
        <w:trPr>
          <w:cantSplit/>
        </w:trPr>
        <w:tc>
          <w:tcPr>
            <w:tcW w:type="dxa" w:w="2448"/>
          </w:tcPr>
          <w:p>
            <w:r>
              <w:t>Gating history</w:t>
            </w:r>
          </w:p>
        </w:tc>
        <w:tc>
          <w:tcPr>
            <w:tcW w:type="dxa" w:w="5760"/>
          </w:tcPr>
          <w:p>
            <w:r>
              <w:t>none identified in the filings on record</w:t>
            </w:r>
          </w:p>
        </w:tc>
        <w:tc>
          <w:tcPr>
            <w:tcW w:type="dxa" w:w="1152"/>
          </w:tcPr>
          <w:p>
            <w:r>
              <w:t>3.1</w:t>
            </w:r>
          </w:p>
        </w:tc>
      </w:tr>
      <w:tr>
        <w:trPr>
          <w:cantSplit/>
        </w:trPr>
        <w:tc>
          <w:tcPr>
            <w:tcW w:type="dxa" w:w="2448"/>
          </w:tcPr>
          <w:p>
            <w:r>
              <w:t>Repurchase program status</w:t>
            </w:r>
          </w:p>
        </w:tc>
        <w:tc>
          <w:tcPr>
            <w:tcW w:type="dxa" w:w="5760"/>
          </w:tcPr>
          <w:p>
            <w:r>
              <w:t>not on record: exchange-listed, no repurchase program</w:t>
            </w:r>
          </w:p>
        </w:tc>
        <w:tc>
          <w:tcPr>
            <w:tcW w:type="dxa" w:w="1152"/>
          </w:tcPr>
          <w:p>
            <w:r>
              <w:t>3.1</w:t>
            </w:r>
          </w:p>
        </w:tc>
      </w:tr>
      <w:tr>
        <w:trPr>
          <w:cantSplit/>
        </w:trPr>
        <w:tc>
          <w:tcPr>
            <w:tcW w:type="dxa" w:w="2448"/>
          </w:tcPr>
          <w:p>
            <w:r>
              <w:t>Early repurchase fee</w:t>
            </w:r>
          </w:p>
        </w:tc>
        <w:tc>
          <w:tcPr>
            <w:tcW w:type="dxa" w:w="5760"/>
          </w:tcPr>
          <w:p>
            <w:r>
              <w:t>not on record (2.7)</w:t>
            </w:r>
          </w:p>
        </w:tc>
        <w:tc>
          <w:tcPr>
            <w:tcW w:type="dxa" w:w="1152"/>
          </w:tcPr>
          <w:p>
            <w:r>
              <w:t>2.7</w:t>
            </w:r>
          </w:p>
        </w:tc>
      </w:tr>
      <w:tr>
        <w:trPr>
          <w:cantSplit/>
        </w:trPr>
        <w:tc>
          <w:tcPr>
            <w:tcW w:type="dxa" w:w="2448"/>
          </w:tcPr>
          <w:p>
            <w:r>
              <w:t>Fund net assets (for the dollar capacity)</w:t>
            </w:r>
          </w:p>
        </w:tc>
        <w:tc>
          <w:tcPr>
            <w:tcW w:type="dxa" w:w="5760"/>
          </w:tcPr>
          <w:p>
            <w:r>
              <w:t>approx. $438.0M</w:t>
            </w:r>
          </w:p>
        </w:tc>
        <w:tc>
          <w:tcPr>
            <w:tcW w:type="dxa" w:w="1152"/>
          </w:tcPr>
          <w:p>
            <w:r>
              <w:t>2.3</w:t>
            </w:r>
          </w:p>
        </w:tc>
      </w:tr>
    </w:tbl>
    <w:p>
      <w:pPr>
        <w:pStyle w:val="Heading2"/>
        <w:keepNext/>
      </w:pPr>
      <w:r>
        <w:t>Scenario (ILLUSTRATIVE, this plan)</w:t>
      </w:r>
    </w:p>
    <w:p>
      <w:r>
        <w:t>Plan inputs (Form 5500): net assets $565.8M, liquidity tail 36.1% of accounts (1,847 separated participants with balances), filed outflow proxy 11.7%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$28.3M): $3.3M/yr = 11.7% of the position per year vs annual wrapper capacity not applicable (exchange-traded).</w:t>
      </w:r>
    </w:p>
    <w:p>
      <w:r>
        <w:t>Slider assumption (adjustable on the Liquidity view, not a fact): tail turnover 20%/yr, active turnover 5%/yr, 10.4% of the position per year = $2.9M/yr, shown beside the filed rate, not blended with it.</w:t>
      </w:r>
    </w:p>
    <w:p>
      <w:r>
        <w:t>Stressed (the filed outflow proxy plus the increment the stress multiples add under stress (tail turnover x2, active turnover x1.5 over the slider assumption)): demand $5.8M/yr = 20.5% of the position. daily exchange liquidity, so stress transmits to price, not to a fund gate.</w:t>
      </w:r>
    </w:p>
    <w:p>
      <w:r>
        <w:t>Scenario verdict (ILLUSTRATIVE, this plan): ALIGNED-MECHANICAL.</w:t>
      </w:r>
    </w:p>
    <w:p>
      <w:pPr>
        <w:pStyle w:val="ListBullet"/>
      </w:pPr>
      <w:r>
        <w:t>Capacity: daily on-exchange liquidity. Capacity is market depth, not a fund cap.</w:t>
      </w:r>
    </w:p>
    <w:p>
      <w:pPr>
        <w:pStyle w:val="ListBullet"/>
      </w:pPr>
      <w:r>
        <w:t>Filed outflow proxy (Schedule H, plan year 2024-01-01 to 2024-12-31): 11.7% of the position per year, the plan's total expenses less administrative expenses over beginning net assets, applied to the position. On an exchange this is a selling rate against market depth, not a claim on a fund cap.</w:t>
      </w:r>
    </w:p>
    <w:p>
      <w:pPr>
        <w:pStyle w:val="ListBullet"/>
      </w:pPr>
      <w:r>
        <w:t>Slider assumption (illustrative): 10.4% of the position per year, from tail turnover 20%/yr on the 36.1% of accounts that are separated and active turnover 5%/yr on the rest. Shown beside the filed rate, not blended with it, and likewise a selling rate against market depth.</w:t>
      </w:r>
    </w:p>
    <w:p>
      <w:r>
        <w:t>Cited: cell 3.1, cell 3.7, the plan record on file (Form 5500, plan year 2024-01-01 to 2024-12-31).</w:t>
      </w:r>
    </w:p>
    <w:p>
      <w:pPr>
        <w:pStyle w:val="Heading1"/>
        <w:keepNext/>
      </w:pPr>
      <w:r>
        <w:t>Peer cohort placement</w:t>
      </w:r>
    </w:p>
    <w:p>
      <w:r>
        <w:t>Evidence depth tier: FULL. Cohort: Pre-IPO / venture growth (listed CEF + listed BDC + interval fund) (n=3). Membership rationale: Listed CEF holding pre-IPO tech, the premium-pricing fail case. The cohort exists to show premium vs NAV pricing as a PATTERN.</w:t>
      </w:r>
    </w:p>
    <w:p>
      <w:r>
        <w:t>Cohort placement (pre-IPO and venture cohort): mgmt fee: at the cohort median of 2.5 (n=3, too small for percentile language) | expense ratio (bases differ, see notes): at the cohort median of 4.53 (n=3, too small for percentile language) | repurchase cap: fact unavailable for this member. Statistics and per-member values are in the cohort record, membership rationales in the facts on record.</w:t>
      </w:r>
    </w:p>
    <w:p>
      <w:r>
        <w:t>Cohort composite: REFUSED, members' pricing bases are heterogeneous (market price vs NAV). An equal-weight composite would average premium/discount dynamics against appraisal NAVs, so it is refused, not fudged</w:t>
      </w:r>
    </w:p>
    <w:p>
      <w:pPr>
        <w:pStyle w:val="ListBullet"/>
      </w:pPr>
      <w:r>
        <w:t>Caveat: PRICING-BASIS MIX: some members transact at NAV, others at exchange market price. Return comparisons mix appraisal dynamics with premium/discount dynamics, so composites across this line are refused, not averaged. [per product from the record: ARK Venture Fund: NAV, Destiny Tech100 Inc: market price, Neostellar Capital Corp.: market price]</w:t>
      </w:r>
    </w:p>
    <w:p>
      <w:pPr>
        <w:pStyle w:val="ListBullet"/>
      </w:pPr>
      <w:r>
        <w:t>Caveat: LEVERAGE-REGIME MIX: BDC 150% coverage and non-1940-Act wrappers allow materially more leverage than 1940-Act funds. Fee bases and return volatility are not like-for-like. [per product from the record: ARK Venture Fund: 1940-Act asset-coverage limits, Destiny Tech100 Inc: 1940-Act asset-coverage limits, Neostellar Capital Corp.: BDC 150% asset-coverage regime]</w:t>
      </w:r>
    </w:p>
    <w:p>
      <w:pPr>
        <w:pStyle w:val="ListBullet"/>
      </w:pPr>
      <w:r>
        <w:t>Caveat: LIQUIDITY-LAW MIX: Rule 23c-3 obligations, discretionary tenders, and repurchase plans give different worst-case exit rights. Cadence numbers alone overstate comparability. [by wrapper type: ARK Venture Fund: Rule 23c-3 OBLIGATION (board cannot skip a window), Destiny Tech100 Inc: continuous exchange dealing, Neostellar Capital Corp.: continuous exchange dealing]</w:t>
      </w:r>
    </w:p>
    <w:p>
      <w:pPr>
        <w:pStyle w:val="ListBullet"/>
      </w:pPr>
      <w:r>
        <w:t>Caveat: NAV-CADENCE MIX: daily, monthly, and quarterly NAV processes embed different appraisal smoothing. Volatility and drawdown comparisons inherit that difference (see de-smoothing lab). [per product from the record: ARK Venture Fund: daily, Destiny Tech100 Inc: quarterly, Neostellar Capital Corp.: quarterly]</w:t>
      </w:r>
    </w:p>
    <w:p>
      <w:r>
        <w:t>Cohort exclusion log: every candidate considered and not admitted is recorded with its reason in the roster decisions record (shown on the Cohorts view). Membership is an argued judgment, not a tag.</w:t>
      </w:r>
    </w:p>
    <w:p>
      <w:pPr>
        <w:pStyle w:val="Heading1"/>
        <w:keepNext/>
      </w:pPr>
      <w:r>
        <w:t>Advisor-stated inputs (this plan)</w:t>
      </w:r>
    </w:p>
    <w:p>
      <w:r>
        <w:t>An advisor-stated cell is the adopting fiduciary's own input for its plan, signed and dated. It is not evidence, it is never extracted or verified, and the product record's cell stays as it is.</w:t>
      </w:r>
    </w:p>
    <w:p>
      <w:r>
        <w:t>None stated for US media/technology company 401(k) plan (~$570M, New York). The six committee cells (6.6 Plan operational fit, 6.8 Fiduciary capacity self-assessment, 3.7 Plan participant liquidity demand, 2.8 CIT fee schedule, 3.5 TDF/CIT liquidity sleeve, 4.9 CIT unit valuation) remain open.</w:t>
      </w:r>
    </w:p>
    <w:p>
      <w:pPr>
        <w:pStyle w:val="Heading1"/>
        <w:keepNext/>
      </w:pPr>
      <w:r>
        <w:t>Scope and case law</w:t>
      </w:r>
    </w:p>
    <w:p>
      <w:pPr>
        <w:pStyle w:val="Heading2"/>
        <w:keepNext/>
      </w:pPr>
      <w:r>
        <w:t>Scope</w:t>
      </w:r>
    </w:p>
    <w:p>
      <w:r>
        <w:t>This record covers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figure read from a cited cell, or a computation from cited series. Every scenario figure is labeled ILLUSTRATIVE. Cells marked extracted-unverified were extracted by an agent and not yet verified by a person. Verbatim regulatory text is in this record and quoted where cited.</w:t>
      </w:r>
    </w:p>
    <w:p>
      <w:pPr>
        <w:pStyle w:val="Heading2"/>
        <w:keepNext/>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record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keepNext/>
      </w:pPr>
      <w:r>
        <w:t>Provenance</w:t>
      </w:r>
    </w:p>
    <w:p>
      <w:r>
        <w:t>Cell status for this product, from the record's one coverage formula: structured 0, extracted-unverified 24, verified 0, computed 14, partial 3, fetched 1, n/a 13, pending 0. 38 of 42 resolved: 24 evidenced, 14 computed, 4 partial, 13 n/a, 0 verified by a person.</w:t>
      </w:r>
    </w:p>
    <w:p>
      <w:r>
        <w:t>Of the 38 resolved cells (structured, extracted-unverified, verified and computed), 38 carry a source document, 38 a section, 24 a verbatim quote (computed cells carry their computation and inputs instead of a quote) and 38 an extractor. 4 cells are partial or fetched and are not counted as resolved. No cell is verified: no cell has been independently re-checked by a person, and the verifier column is empty on every row. Cells marked extracted-unverified were extracted by an agent from the cited document.</w:t>
      </w:r>
    </w:p>
    <w:p>
      <w:pPr>
        <w:pStyle w:val="Heading2"/>
        <w:keepNext/>
      </w:pPr>
      <w:r>
        <w:t>Sources cited, by filing</w:t>
      </w:r>
    </w:p>
    <w:p>
      <w:pPr>
        <w:keepNext/>
      </w:pPr>
      <w:r>
        <w:t>Every filing an evidenced cell cites, resolved against the filing manifest by accession, with the cells that cite it. A cell whose reference does not resolve is listed after the table with the reason. The source as written in the evidence ledger stays on the ledger row.</w:t>
      </w:r>
    </w:p>
    <w:tbl>
      <w:tblPr>
        <w:tblStyle w:val="TableGrid"/>
        <w:tblW w:type="dxa" w:w="9360"/>
        <w:tblLayout w:type="fixed"/>
        <w:tblLook w:firstColumn="1" w:firstRow="1" w:lastColumn="0" w:lastRow="0" w:noHBand="0" w:noVBand="1" w:val="04A0"/>
      </w:tblPr>
      <w:tblGrid>
        <w:gridCol w:w="1872"/>
        <w:gridCol w:w="4896"/>
        <w:gridCol w:w="2592"/>
      </w:tblGrid>
      <w:tr>
        <w:trPr>
          <w:tblHeader/>
          <w:cantSplit/>
        </w:trPr>
        <w:tc>
          <w:tcPr>
            <w:tcW w:type="dxa" w:w="1872"/>
          </w:tcPr>
          <w:p>
            <w:r>
              <w:t>Filing</w:t>
            </w:r>
          </w:p>
        </w:tc>
        <w:tc>
          <w:tcPr>
            <w:tcW w:type="dxa" w:w="4896"/>
          </w:tcPr>
          <w:p>
            <w:r>
              <w:t>Accession and EDGAR URL</w:t>
            </w:r>
          </w:p>
        </w:tc>
        <w:tc>
          <w:tcPr>
            <w:tcW w:type="dxa" w:w="2592"/>
          </w:tcPr>
          <w:p>
            <w:r>
              <w:t>Cells citing it</w:t>
            </w:r>
          </w:p>
        </w:tc>
      </w:tr>
      <w:tr>
        <w:trPr>
          <w:cantSplit/>
        </w:trPr>
        <w:tc>
          <w:tcPr>
            <w:tcW w:type="dxa" w:w="1872"/>
          </w:tcPr>
          <w:p>
            <w:r>
              <w:t>N-CSR 2026-03-10</w:t>
            </w:r>
          </w:p>
        </w:tc>
        <w:tc>
          <w:tcPr>
            <w:tcW w:type="dxa" w:w="4896"/>
          </w:tcPr>
          <w:p>
            <w:r>
              <w:t>accession 0001213900-26-025304</w:t>
            </w:r>
          </w:p>
          <w:p>
            <w:r>
              <w:t>https://www.sec.gov/Archives/edgar/data/1843974/000121390026025304/ea0276106-01_ncsr.htm</w:t>
            </w:r>
          </w:p>
        </w:tc>
        <w:tc>
          <w:tcPr>
            <w:tcW w:type="dxa" w:w="2592"/>
          </w:tcPr>
          <w:p>
            <w:r>
              <w:t>1.1, 1.2, 1.3, 1.4, 1.11, 2.1, 2.2, 2.3, 2.5, 3.1, 3.4, 3.6, 4.1, 4.2, 4.3, 4.4, 4.5, 4.6, 5.1, 6.1, 6.2, 6.3, 6.5</w:t>
            </w:r>
          </w:p>
        </w:tc>
      </w:tr>
      <w:tr>
        <w:trPr>
          <w:cantSplit/>
        </w:trPr>
        <w:tc>
          <w:tcPr>
            <w:tcW w:type="dxa" w:w="1872"/>
          </w:tcPr>
          <w:p>
            <w:r>
              <w:t>424B3 2026-05-12</w:t>
            </w:r>
          </w:p>
        </w:tc>
        <w:tc>
          <w:tcPr>
            <w:tcW w:type="dxa" w:w="4896"/>
          </w:tcPr>
          <w:p>
            <w:r>
              <w:t>accession 0001575872-26-000288</w:t>
            </w:r>
          </w:p>
          <w:p>
            <w:r>
              <w:t>https://www.sec.gov/Archives/edgar/data/1843974/000157587226000288/dxyz100_424b3.htm</w:t>
            </w:r>
          </w:p>
        </w:tc>
        <w:tc>
          <w:tcPr>
            <w:tcW w:type="dxa" w:w="2592"/>
          </w:tcPr>
          <w:p>
            <w:r>
              <w:t>3.4, 6.1, 6.2</w:t>
            </w:r>
          </w:p>
        </w:tc>
      </w:tr>
      <w:tr>
        <w:trPr>
          <w:cantSplit/>
        </w:trPr>
        <w:tc>
          <w:tcPr>
            <w:tcW w:type="dxa" w:w="1872"/>
          </w:tcPr>
          <w:p>
            <w:r>
              <w:t>424B5 2026-05-26</w:t>
            </w:r>
          </w:p>
        </w:tc>
        <w:tc>
          <w:tcPr>
            <w:tcW w:type="dxa" w:w="4896"/>
          </w:tcPr>
          <w:p>
            <w:r>
              <w:t>accession 0001575872-26-000359</w:t>
            </w:r>
          </w:p>
          <w:p>
            <w:r>
              <w:t>https://www.sec.gov/Archives/edgar/data/1843974/000157587226000359/dxyz102_424b5.htm</w:t>
            </w:r>
          </w:p>
        </w:tc>
        <w:tc>
          <w:tcPr>
            <w:tcW w:type="dxa" w:w="2592"/>
          </w:tcPr>
          <w:p>
            <w:r>
              <w:t>1.3, 1.4, 1.11, 2.2, 2.4, 2.6, 3.6, 4.1, 6.1, 6.2, 6.3, 6.4</w:t>
            </w:r>
          </w:p>
        </w:tc>
      </w:tr>
      <w:tr>
        <w:trPr>
          <w:cantSplit/>
        </w:trPr>
        <w:tc>
          <w:tcPr>
            <w:tcW w:type="dxa" w:w="1872"/>
          </w:tcPr>
          <w:p>
            <w:r>
              <w:t>NPORT-P 2026-05-29</w:t>
            </w:r>
          </w:p>
        </w:tc>
        <w:tc>
          <w:tcPr>
            <w:tcW w:type="dxa" w:w="4896"/>
          </w:tcPr>
          <w:p>
            <w:r>
              <w:t>accession 0000894189-26-016628</w:t>
            </w:r>
          </w:p>
          <w:p>
            <w:r>
              <w:t>https://www.sec.gov/Archives/edgar/data/1843974/000089418926016628/xslFormNPORT-P_X01/primary_doc.xml</w:t>
            </w:r>
          </w:p>
        </w:tc>
        <w:tc>
          <w:tcPr>
            <w:tcW w:type="dxa" w:w="2592"/>
          </w:tcPr>
          <w:p>
            <w:r>
              <w:t>3.6</w:t>
            </w:r>
          </w:p>
        </w:tc>
      </w:tr>
    </w:tbl>
    <w:p>
      <w:pPr>
        <w:keepNext/>
      </w:pPr>
      <w:r>
        <w:t>Cells whose reference does not resolve to a manifest row:</w:t>
      </w:r>
    </w:p>
    <w:p>
      <w:pPr>
        <w:pStyle w:val="ListBullet"/>
      </w:pPr>
      <w:r>
        <w:t>1.6: accession not on record: no filing reference in the source field</w:t>
      </w:r>
    </w:p>
    <w:p>
      <w:pPr>
        <w:pStyle w:val="ListBullet"/>
      </w:pPr>
      <w:r>
        <w:t>1.8: accession not on record: no filing reference in the source field</w:t>
      </w:r>
    </w:p>
    <w:p>
      <w:pPr>
        <w:pStyle w:val="ListBullet"/>
      </w:pPr>
      <w:r>
        <w:t>1.9: accession not on record: no filing reference in the source field</w:t>
      </w:r>
    </w:p>
    <w:p>
      <w:pPr>
        <w:pStyle w:val="ListBullet"/>
      </w:pPr>
      <w:r>
        <w:t>1.10: accession not on record: no filing reference in the source field</w:t>
      </w:r>
    </w:p>
    <w:p>
      <w:pPr>
        <w:pStyle w:val="ListBullet"/>
      </w:pPr>
      <w:r>
        <w:t>1.12: accession not on record: no filing reference in the source field</w:t>
      </w:r>
    </w:p>
    <w:p>
      <w:pPr>
        <w:pStyle w:val="ListBullet"/>
      </w:pPr>
      <w:r>
        <w:t>2.9: accession not on record: no filing reference in the source field</w:t>
      </w:r>
    </w:p>
    <w:p>
      <w:pPr>
        <w:pStyle w:val="ListBullet"/>
      </w:pPr>
      <w:r>
        <w:t>3.7: accession not on record: no filing reference in the source field</w:t>
      </w:r>
    </w:p>
    <w:p>
      <w:pPr>
        <w:pStyle w:val="ListBullet"/>
      </w:pPr>
      <w:r>
        <w:t>3.8: accession not on record: no filing reference in the source field</w:t>
      </w:r>
    </w:p>
    <w:p>
      <w:pPr>
        <w:pStyle w:val="ListBullet"/>
      </w:pPr>
      <w:r>
        <w:t>3.9: accession not on record: no filing reference in the source field</w:t>
      </w:r>
    </w:p>
    <w:p>
      <w:pPr>
        <w:pStyle w:val="ListBullet"/>
      </w:pPr>
      <w:r>
        <w:t>4.7: accession not on record: no filing reference in the source field</w:t>
      </w:r>
    </w:p>
    <w:p>
      <w:pPr>
        <w:pStyle w:val="ListBullet"/>
      </w:pPr>
      <w:r>
        <w:t>5.3: accession not on record: no filing reference in the source field</w:t>
      </w:r>
    </w:p>
    <w:p>
      <w:pPr>
        <w:pStyle w:val="ListBullet"/>
      </w:pPr>
      <w:r>
        <w:t>5.4: accession not on record: no filing reference in the source field</w:t>
      </w:r>
    </w:p>
    <w:p>
      <w:pPr>
        <w:pStyle w:val="ListBullet"/>
      </w:pPr>
      <w:r>
        <w:t>5.5: accession not on record: no filing reference in the source field</w:t>
      </w:r>
    </w:p>
    <w:p>
      <w:pPr>
        <w:pStyle w:val="ListBullet"/>
      </w:pPr>
      <w:r>
        <w:t>5.6: accession not on record: no filing reference in the source field</w:t>
      </w:r>
    </w:p>
    <w:p>
      <w:pPr>
        <w:pStyle w:val="ListBullet"/>
      </w:pPr>
      <w:r>
        <w:t>5.7: accession not on record: no filing reference in the source field</w:t>
      </w:r>
    </w:p>
    <w:p>
      <w:r>
        <w:t>Plan record: DOL Form 5500 and Schedule H for plan year 2024-01-01 to 2024-12-31, shown under the plan's anonymized label.</w:t>
      </w:r>
    </w:p>
    <w:p>
      <w:r>
        <w:t>Data sources: SEC EDGAR filings (5 held for this product in the filing manifest, every row with its accession) and DOL EBSA Form 5500 data for the plan, shown under its anonymized label.</w:t>
      </w:r>
    </w:p>
    <w:p>
      <w:pPr>
        <w:pStyle w:val="Heading1"/>
        <w:keepNext/>
      </w:pPr>
      <w:r>
        <w:t>Attachments</w:t>
      </w:r>
    </w:p>
    <w:p>
      <w:r>
        <w:t>Attachment A: the verbatim text of proposed 29 CFR 2550.404a-6 paragraphs (g) to (l), examples included, one document shared by every record and named by the first twelve characters of its content hash, aef7a94680824e5574780e1f614702189d9dafcf1fde58558ff3ac782d3dcd5a.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r>
    <w:r>
      <w:instrText xml:space="preserve">PAGE</w:instrText>
    </w:r>
    <w:r>
      <w:fldChar w:fldCharType="separate"/>
    </w:r>
    <w:r>
      <w:t>1</w:t>
    </w:r>
    <w:r>
      <w:fldChar w:fldCharType="end"/>
    </w:r>
    <w:r>
      <w:t xml:space="preserve"> of </w:t>
    </w:r>
    <w:r>
      <w:fldChar w:fldCharType="begin"/>
    </w:r>
    <w:r>
      <w:instrText xml:space="preserve">NUMPAGES</w:instrText>
    </w:r>
    <w:r>
      <w:fldChar w:fldCharType="separate"/>
    </w:r>
    <w:r>
      <w:t>1</w:t>
    </w:r>
    <w:r>
      <w:fldChar w:fldCharType="end"/>
    </w:r>
    <w:r>
      <w:t>. Record as of 2026-09-04.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Investment Selection Record. US media/technology company 401(k) plan (~$570M, New York). Destiny Tech100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Investment Selection Record: Destiny Tech100 Inc for US media/technology company 401(k) plan (~$570M, New York)</dc:title>
  <dc:subject>Fiduciary Duties in Selecting Designated Investment Alternatives, 91 FR 16088 (Mar. 31, 2026), RIN 1210-AC38, proposed 29 CFR 2550.404a-6, paragraphs (g) to (l)</dc:subject>
  <dc:creator>Tark</dc:creator>
  <cp:keywords>dxyz, plan_tech_media, 2026-09-04</cp:keywords>
  <dc:description>Generated from the record. The fiduciary decides on it.</dc:description>
  <cp:lastModifiedBy>Tark</cp:lastModifiedBy>
  <cp:revision>1</cp:revision>
  <dcterms:created xsi:type="dcterms:W3CDTF">2026-09-04T00:00:00Z</dcterms:created>
  <dcterms:modified xsi:type="dcterms:W3CDTF">2026-09-04T00:00:00Z</dcterms:modified>
  <cp:category>Investment Selection Record</cp:category>
</cp:coreProperties>
</file>