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AMG Pantheon Fund, LLC (tender-offer fund ('40 Act), evergreen PE, CIK 1609211)</w:t>
        <w:br/>
      </w:r>
      <w:r>
        <w:t>Date: 2026-08-15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NAV-based net total return series, fiscal years ended March 31, all five classes printed. Primary class (Class 4, zero distribution fee, inception 09/30/14 = Fund inception, used in the N-CSR performance graph): FY2026 9</w:t>
              <w:br/>
              <w:t>1.2: Average annual total returns as of 3/31/2026 (1yr / 5yr / 10yr / since inception, inception date): Class 4: 9.10% / 11.12% / 13.16% / 11.63% (09/30/14); Class 3: 8.88 / 10.84 / 12.87 / 12.50 (10/27/15); Class 2: 8.60 / 1</w:t>
              <w:br/>
              <w:t>1.3: PARTIAL: no gross-of-fees RETURN series is printed in any on-disk document - only net total returns. What IS printed is the gross-vs-net EXPENSE-ratio spread, a constant 0.70% for every class every year FY2024-FY2026 (FY</w:t>
              <w:br/>
              <w:t>1.4: Distributions declared/paid at least annually; identical per-unit across classes: FY2026 $0.63, FY2025 $0.25, FY2024 $0.17, FY2023 $0.41, FY2022 $0.72 - all from net realized gain on investments. Class 4 ten-year table a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RATE: 0.70% annual. BASE: net assets as of the end of each month, determined before accrual of the fee being calculated and before purchases/repurchases/distributions. WHERE CHARGED: paid by the Master Fund AND by each S</w:t>
              <w:br/>
              <w:t>2.2: Documented absence at Fund/Master level: the N-2 fee tables for all five classes print only Management Fee, Distribution and/or Service Fee, Other Expenses, and Acquired Fund Fees and Expenses - no incentive or performan</w:t>
              <w:br/>
              <w:t>2.3: N-2 fee tables, Total Annual Expenses (as % of net assets attributable to Units): Class 1 3.13%, Class 2 2.88%, Class 3 2.63%, Class 4 2.38%, Class 5 3.38% - each = 0.70% management + 0.75/0.50/0.25/0.00/1.00% distributi</w:t>
              <w:br/>
              <w:t xml:space="preserve">2.4: AFFE 0.81% for every class (Class 1 table and Class 2-5 table identical). Reflects operating expenses of the Investment Funds (management fees, administration fees, professional and other direct fixed fees); excludes an 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Wrapper liquidity: unlisted tender-offer fund; no unitholder redemption right - repurchases only via written tenders at times/amounts/terms set by the Board in its sole discretion. CADENCE: Adviser and Sponsor anticipate</w:t>
              <w:br/>
              <w:t>3.2: Mechanics per live offer (SC TO-I filed 2026-08-03): tenders due 11:59 p.m. ET 2026-08-28; purchase price = class NAV as of Valuation Date 2026-09-30 (approx. one month after expiration); payment in cash or a non-interes</w:t>
              <w:br/>
              <w:t>3.3: As disclosed (recorded 2026-08-15): live offer (launched 2026-08-03, expires 2026-08-28) for up to 11,957,272 Units, approx. 5% of the 239,145,444 Units outstanding at 5/31/2026. Completed-tender dollars from N-CSR capit</w:t>
              <w:br/>
              <w:t xml:space="preserve">3.4: Master Fund holdings attributes table at 3/31/2026: every private investment category 'Not Redeemable', redemption frequency/notice N/A, remaining lives up to 12 years. Fair value $6,079,798,952 across Buyout $4,982.9M, 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NAV FREQUENCY: monthly - NAV of the Master Fund and each class calculated as of close of business on the last business day of each calendar month, plus any distribution date and other Board-determined times ('Determinati</w:t>
              <w:br/>
              <w:t>4.2: Master Fund consolidated hierarchy at 3/31/2026: Level 1 $581,361,401 (common stock $48.1M + short-term other-investment-companies $533.3M); Level 2 $0; Level 3 $325,527,462 (co-investments $315.9M + primary funds $9.7M)</w:t>
              <w:br/>
              <w:t xml:space="preserve">4.3: PARTIAL: no independent valuation agent is NAMED and no standing engagement is disclosed. Printed capability only: the Master Fund 'may utilize' independent valuation firms for third-party valuation consulting; N-2 adds </w:t>
              <w:br/>
              <w:t>4.4: By asset type (Master Fund Note 1a + L3 quantitative table at 3/31/2026): direct investments/certain co-investments - market or income approach (techniques printed: recent round of financing/option pricing model with ter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Self-declared comparison index in the annual report: MSCI World Index - used in both the cumulative-return graph (hypothetical $50,000,000 in Class 4 units vs the index) and the Average Annual Total Returns table (MSCI W</w:t>
              <w:br/>
              <w:t>5.3: Candidates evaluated incl. paid/manual indices and the real peer-cohort lane; full scoring + rejection ledger in the selection artifact.</w:t>
              <w:br/>
              <w:t>5.4: Peer cohort evergreen_pe (n=5): members, rationales, stats, composite (or its documented refusal) and caveat block in the cohort artifact; exclusions in data/roster_decisions.md.</w:t>
              <w:br/>
              <w:t>5.5: PME inputs (computed): window 2016-03-31 to 2026-03-31; flows [-1, 3.4461]; index daily-anchored. KS-PME 2.4551, Direct Alpha 9.4%/yr.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Master-feeder: AMG Pantheon Fund, LLC (Delaware LLC, closed-end non-diversified, perpetual term, five unit classes, CIK 1609211) is a feeder investing substantially all assets in AMG Pantheon Master Fund, LLC (affiliate;</w:t>
              <w:br/>
              <w:t>6.2: Evergreen private-equity vehicle, objective long-term capital appreciation; strategy mix at 3/31/2026 (Master SOI): secondaries $3,138.2M + co-investments $2,369.1M + primary funds $572.5M + common stock $48.1M + short-t</w:t>
              <w:br/>
              <w:t>6.3: Printed conflicts web: AMG (Affiliated Managers Group, Inc.) indirectly owns a majority of the Adviser (Pantheon); the Administrator (AMG Funds LLC, AMG's US wealth platform) and Distributor (AMG Distributors, Inc., whol</w:t>
              <w:br/>
              <w:t>6.4: Form 1099-DIV literally printed (Other Tax Information): investors receive Form 1099-DIV showing the tax status of distributions - no K-1. Fund qualifies as a regulated investment company under Subchapter M (tax year end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— score 9/12</w:t>
      </w:r>
    </w:p>
    <w:p>
      <w:r>
        <w:t>Window 2016-03-31 to 2026-03-31: fund 13.17%/yr vs benchmark 3.45%/yr; KS-PME 2.4551; Direct Alpha 9.4%/yr.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GPs/holdcos - PE exposure with public-market beta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— score 8/12</w:t>
      </w:r>
    </w:p>
    <w:p>
      <w:r>
        <w:t>Window 2016-03-31 to 2026-03-31: fund 13.17%/yr vs benchmark 8.61%/yr; KS-PME 1.5085; Direct Alpha 4.2%/yr.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evergreen_pe (hl_paf, stepstone_spm, kkr_kpec, ares_pmf, amg_pantheon)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Evergreen private equity ('40-Act funds + '34-Act conglomerate) (n=5). Membership rationale: Evergreen PE (Pantheon) tender-offer LLC - wrapper and strategy twin of hl_paf/stepstone_spm.</w:t>
      </w:r>
    </w:p>
    <w:p>
      <w:r>
        <w:t>Cohort placement (evergreen_pe, R4 phrasing): mgmt fee: 10th percentile of cohort (n=5), below the median of 1.4 | expense ratio (bases differ - see notes): 30th percentile of cohort (n=5), below the median of 3.19 | repurchase cap: 12th percentile of cohort (n=4), at the median of 5. Stats + caveats in the cohort artifact.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27, fetched: 1, n/a: 16, partial: 2. Cells marked extracted-unverified or computed await independent verification; verified cells have been independently re-checked.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