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Ares Private Markets Fund (tender-offer fund ('40 Act), CIK 1876006)</w:t>
        <w:br/>
      </w:r>
      <w:r>
        <w:t>Date: 2026-08-15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PARTIAL: Class I (primary; inception 4/1/2022) NAV/share at fiscal year-end (March 31): FY2023 $26.93 / FY2024 $30.57 / FY2025 $36.12 / FY2026 $39.03, from $25.00 at commencement. Class D (from 9/1/2022): 26.87 / 30.45 /</w:t>
              <w:br/>
              <w:t>1.2: Class I (primary) FY total returns: FY2026 9.58% / FY2025 19.95% / FY2024 17.10% / FY2023 9.27% (period 4/1/2022-3/31/2023). Average Annual Total Returns as of 3/31/2026 (Performance Overview, unaudited): Class I 1mo 1.9</w:t>
              <w:br/>
              <w:t>1.3: No gross-vs-net PERFORMANCE spread is printed (returns are net-only). Expense-side spread (ratios to average net assets, FY2026): gross 5.02% I / 5.21% D / 5.85% A vs net after waivers 4.99% / 5.18% / 5.82% - waiver line</w:t>
              <w:br/>
              <w:t>1.4: No managed-distribution policy: 'The Fund does not have a policy or practice of maintaining a specified level of distributions to shareholders' (FY2026 report); intends to distribute at least 90% of annual net taxable in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1.40% annualized on MANAGED ASSETS - a leverage-inclusive base: total assets (including assets attributable to borrowings/indebtedness/preferred) minus liabilities OTHER than borrowing-related liabilities - calculated an</w:t>
              <w:br/>
              <w:t>2.2: Incentive Fee: 12.5% of the positive difference between quarterly net profits and the then-balance of the Loss Recovery Account (memorandum account, initial balance zero; increased each quarter by net losses, decreased n</w:t>
              <w:br/>
              <w:t>2.3: FY2026 ratios to average net assets: gross 5.02% I / 5.21% D / 5.85% A; net after waivers 4.99% / 5.18% / 5.82% (include incentive-fee drag 1.60/1.58/1.59% and interest expense; EXCLUDE underlying Portfolio Fund income/e</w:t>
              <w:br/>
              <w:t>2.4: AFFE line in the current (2026) fee table: 1.00% for each class (A/D/I), of net assets. Footnote (6): estimated fees/expenses of Portfolio Funds held and expected based on anticipated offering proceeds; reflects Portfoli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Discretionary quarterly tender offers under Rule 13e-4 - NOT an interval fund: the 2026 486BPOS facing sheet checks 'Registered Closed-End Fund' and leaves the 'Interval Fund (...Rule 23c-3...)' box UNCHECKED. Adviser in</w:t>
              <w:br/>
              <w:t>3.2: Q2-2026 offer mechanics (SC TO-I filed 2026-06-01; Rule 13e-4 issuer tender, all three classes): SIZE up to ~5.00% of net assets (~$215,844,245.85 as of 4/30/2026). NOTICE/EXPIRATION: Letters of Transmittal due 11:59 p.m</w:t>
              <w:br/>
              <w:t>3.3: N-CSR Note 7: four repurchase offers conducted in EACH of FY2026 and FY2025 - 6,433,068 Shares repurchased for $244,528,497 (FY2026) vs 2,378,429 Shares for $82,331,350 (FY2025), a ~3x year-over-year jump in dollars. Per</w:t>
              <w:br/>
              <w:t>3.4: As of 3/31/2026: net assets $4,123,522,171. Private Assets fair value $5,190,549,715 = 125.88% of net assets (Secondary Investments 120.14% / Primary 3.03% / Direct-Co-Investments 2.71%); Short-Term Investments 1.91% ($7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NAV frequency MONTHLY: each class as of close of business on the last business day of each calendar month, plus each repurchase date, any distribution date, and other Board-determined dates (each a 'Determination Date');</w:t>
              <w:br/>
              <w:t>4.2: ASC 820-10 hierarchy at 3/31/2026: Level 1 $78,702,565 (all Short-Term Investments); Level 2 $0; Level 3 $194,007,718 (Direct Investments/Co-Investments $11,328,814 + Secondary Investments $182,678,904); total investment</w:t>
              <w:br/>
              <w:t>4.3: An independent third-party valuation service IS engaged, but its printed scope is narrow: it reviews 'the application of the market adjustment factor and certain idiosyncratic valuation adjustments' - it does not indepen</w:t>
              <w:br/>
              <w:t>4.4: By asset type: (1) PORTFOLIO FUNDS (Secondary + Primary; ~123% of net assets) - NAV practical expedient on latest manager/GP-reported NAV, adjusted for capital activity/events; (2) DIRECT/CO-INVESTMENTS and other Level 3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Broad-based comparison index in the FY2026 shareholder report: MSCI World Index - printed as a row in the Average Annual Total Returns table (1yr 18.90% / 3yr 16.77% / 10.28% since 4/1/2022, footnoted that 4/1/2022 is no</w:t>
              <w:br/>
              <w:t>5.3: Candidates evaluated incl. paid/manual indices and the real peer-cohort lane; full scoring + rejection ledger in the selection artifact.</w:t>
              <w:br/>
              <w:t>5.4: Peer cohort evergreen_pe (n=5): members, rationales, stats, composite (or its documented refusal) and caveat block in the cohort artifact; exclusions in data/roster_decisions.md.</w:t>
              <w:br/>
              <w:t>5.5: PME inputs (computed): window 2022-04-01 to 2026-03-31; flows [-1, 1.6819]; index daily-anchored. KS-PME 1.5712, Direct Alpha 11.97%/yr.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>6.1: Legal form: Delaware statutory trust (organized 7/28/2021), registered closed-end, non-diversified management investment company; RIC under Subchapter M with tax year end September 30 (fiscal year end March 31). Three sh</w:t>
              <w:br/>
              <w:t>6.2: Secondaries-led evergreen private equity fund of funds. 80% policy (2026 prospectus): under normal circumstances at least 80% of net assets (plus investment borrowings) in 'Private Assets' = Secondary Investments (LP-led</w:t>
              <w:br/>
              <w:t>6.3: 486BPOS POTENTIAL CONFLICTS OF INTEREST section: Adviser is a fiduciary, but purchasing Shares deems each shareholder to have acknowledged and WAIVED claims on disclosed actual/potential conflicts; overlapping Other Mana</w:t>
              <w:br/>
              <w:t>6.4: Form 1099-DIV: each year a statement identifying the amount and character (ordinary income, qualified dividend income, long-term capital gain) of distributions is mailed to shareholders (Fund is a RIC under Subchapter M;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private equity investable proxy (PSP) — score 9/12</w:t>
      </w:r>
    </w:p>
    <w:p>
      <w:r>
        <w:t>Window 2022-04-01 to 2026-03-31: fund 13.88%/yr vs benchmark 1.72%/yr; KS-PME 1.5712; Direct Alpha 11.97%/yr.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listed GPs/holdcos - PE exposure with public-market beta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MSCI World investable proxy (URTH) — score 8/12</w:t>
      </w:r>
    </w:p>
    <w:p>
      <w:r>
        <w:t>Window 2022-04-01 to 2026-03-31: fund 13.88%/yr vs benchmark 10.49%/yr; KS-PME 1.1283; Direct Alpha 3.07%/yr.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1/3: public equities - liquidity/leverage profile differs materially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PSP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US PE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evergreen_pe (hl_paf, stepstone_spm, kkr_kpec, ares_pmf, amg_pantheon)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Evergreen private equity ('40-Act funds + '34-Act conglomerate) (n=5). Membership rationale: Secondaries-led evergreen PE tender-offer fund - wrapper and strategy twin of hl_paf/stepstone_spm.</w:t>
      </w:r>
    </w:p>
    <w:p>
      <w:r>
        <w:t>Cohort placement (evergreen_pe, R4 phrasing): mgmt fee: 50th percentile of cohort (n=5), at the median of 1.4 | expense ratio (bases differ - see notes): 90th percentile of cohort (n=5), above the median of 3.19 | repurchase cap: fact unavailable for this member. Stats + caveats in the cohort artifact.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[amg_pantheon: NAV; ares_pmf: NAV; hl_paf: NAV; kkr_kpec: transactional NAV; stepstone_spm: NAV]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[amg_pantheon: 1940-Act asset-coverage limits; ares_pmf: 1940-Act asset-coverage limits; hl_paf: 1940-Act asset-coverage limits; kkr_kpec: no 1940-Act leverage limits (34-Act conglomerate); stepstone_spm: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[amg_pantheon: board-DISCRETIONARY tender offers (nothing compels the next one); ares_pmf: board-DISCRETIONARY tender offers (nothing compels the next one); hl_paf: board-DISCRETIONARY tender offers (nothing compels the next one); kkr_kpec: board-discretionary share repurchases; stepstone_spm: board-DISCRETIONARY tender offers (nothing compels the next one)]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[amg_pantheon: daily-to-monthly NAV; ares_pmf: daily-to-monthly NAV; hl_paf: daily-to-monthly NAV; kkr_kpec: monthly transactional NAV; stepstone_spm: daily-to-monthly NAV]</w:t>
      </w:r>
    </w:p>
    <w:p>
      <w:pPr>
        <w:pStyle w:val="ListBullet"/>
      </w:pPr>
      <w:r>
        <w:t>Caveat: kkr_kpec joins under the authorized fallback: its structural twins are Reg D vehicles with no public filings (data/roster_decisions.md - 'The kkr_kpec ruling'). Cross-wrapper caveats apply.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8, extracted: 28, fetched: 1, n/a: 16, partial: 1. Cells marked extracted-unverified or computed await independent verification; verified cells have been independently re-checked.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