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Designated Investment Alternative Evaluation — Decision Memo</w:t>
      </w:r>
    </w:p>
    <w:p>
      <w:r>
        <w:rPr>
          <w:b/>
        </w:rPr>
        <w:t>Plan: US media/technology company 401(k) plan (~$570M, New York)</w:t>
        <w:br/>
      </w:r>
      <w:r>
        <w:t>Product: Hamilton Lane Private Assets Fund (tender-offer fund ('40 Act); NOT an interval fund, CIK 1803491)</w:t>
        <w:br/>
      </w:r>
      <w:r>
        <w:t>Date: 2026-08-15    Status: DRAFT — demo build; cells marked extracted-unverified pend independent verification.</w:t>
      </w:r>
    </w:p>
    <w:p>
      <w:pPr>
        <w:pStyle w:val="Heading1"/>
      </w:pPr>
      <w:r>
        <w:t>Regulatory basis</w:t>
      </w:r>
    </w:p>
    <w:p>
      <w:r>
        <w:t>DOL proposed rule, Fiduciary Duties in Selecting Designated Investment Alternatives, 91 FR 16088 (Mar. 31, 2026), RIN 1210-AC38</w:t>
      </w:r>
    </w:p>
    <w:p>
      <w:r>
        <w:t>This memo documents an evaluation of the product below as a potential designated investment alternative (DIA) for the plan, structured on the six factors of the proposed rule: performance, fees and expenses, liquidity, valuation, performance benchmarks, and complexity. The proposed safe harbor attaches to a documented, objective, thorough and analytical process; this memo and its underlying evidence files constitute that record.</w:t>
      </w:r>
    </w:p>
    <w:p>
      <w:r>
        <w:t>On benchmarks, the proposal requires comparison against a meaningful benchmark and acknowledges that no single benchmark is meaningful for every DIA; where none exists, the history of a similar type of investment may serve. The benchmark section below therefore documents the selection AND the rejections: every candidate considered, its score, and the true reason it was or was not chosen. Note: the pleading standard for benchmark-based claims is before the Supreme Court in Anderson v. Intel (argument expected October Term 2026); this memo's approach is designed to be defensible under either outcome.</w:t>
      </w:r>
    </w:p>
    <w:p>
      <w:pPr>
        <w:pStyle w:val="Heading1"/>
      </w:pPr>
      <w:r>
        <w:t>Six-factor findings (summary)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</w:tcPr>
          <w:p>
            <w:r>
              <w:t>Factor</w:t>
            </w:r>
          </w:p>
        </w:tc>
        <w:tc>
          <w:tcPr>
            <w:tcW w:type="dxa" w:w="7344"/>
          </w:tcPr>
          <w:p>
            <w:r>
              <w:t>Key findings (cell: value)</w:t>
            </w:r>
          </w:p>
        </w:tc>
      </w:tr>
      <w:tr>
        <w:tc>
          <w:tcPr>
            <w:tcW w:type="dxa" w:w="2016"/>
          </w:tcPr>
          <w:p>
            <w:r>
              <w:t>1 — Performance</w:t>
            </w:r>
          </w:p>
        </w:tc>
        <w:tc>
          <w:tcPr>
            <w:tcW w:type="dxa" w:w="7344"/>
          </w:tcPr>
          <w:p>
            <w:r>
              <w:t>1.1: PARTIAL: Class I NAV/share FY2022-FY2026: 12.35 / 14.14 / 15.81 / 17.55 / 19.77 (fiscal yr end Mar 31). Monthly series still to assemble from fact sheets.</w:t>
              <w:br/>
              <w:t>1.2: Class I avg annual total returns as of 3/31/2026: 1yr 14.60% / 3yr 13.28% / 5yr 15.31% / since inception 15.36%. FY total returns FY26-FY22: 14.60 / 12.59 / 12.68 / 16.10 / 20.77 (%).</w:t>
              <w:br/>
              <w:t>1.3: Class I gross vs net expense ratios (Consolidated Financial Highlights, FYE Mar 31): FY2026 gross 3.40% / net 3.40%; FY2025 2.93% / 2.93%; FY2024 4.26% / 4.26% - identical, zero spread ('Expense Recoupment/(Reimbursement</w:t>
              <w:br/>
              <w:t>1.4: FY2026 (year ended 3/31/2026) distributions to investors totaled $88,161,148 (Class I $52,227,996; Class R $34,331,024; Class D $1,602,128); prior-year total $42,458,537 (Consolidated Statements of Changes in Net Assets)</w:t>
            </w:r>
          </w:p>
        </w:tc>
      </w:tr>
      <w:tr>
        <w:tc>
          <w:tcPr>
            <w:tcW w:type="dxa" w:w="2016"/>
          </w:tcPr>
          <w:p>
            <w:r>
              <w:t>2 — Fees</w:t>
            </w:r>
          </w:p>
        </w:tc>
        <w:tc>
          <w:tcPr>
            <w:tcW w:type="dxa" w:w="7344"/>
          </w:tcPr>
          <w:p>
            <w:r>
              <w:t xml:space="preserve">2.1: 1.40% annualized on MANAGED ASSETS (not net assets - includes leverage), calculated monthly, paid quarterly. NOTE: fee-base trap from dictionary 2.1 confirmed in the wild. Fee history note (crosscheck): 2021 486BPOS fee </w:t>
              <w:br/>
              <w:t>2.2: CURRENT TERMS (Investment Management Agreement approved by shareholders March 14, 2025; FY2026 N-CSR): Incentive Fee = 10.00% of the excess of quarterly NET PROFITS over the then-balance of the Loss Recovery Account (mem</w:t>
              <w:br/>
              <w:t>2.3: Class I gross/net expenses FY26 3.40%/3.40%, FY25 2.93/2.93, FY24 4.26/4.26. Expense Limit: 1.45% R / 0.75% I / 1.00% D of avg daily net assets, EXCLUDING mgmt fee, incentive fee, AFFE, interest, taxes.</w:t>
              <w:br/>
              <w:t>2.4: 486BPOS (2021-dated) fee tables include an 'Acquired Fund Fees and Expenses' line of 0.49% for each class (columns Class R / Class I / Class D). With-leverage table: Total Annual Expenses 4.85% / 4.15% / 4.40%; without-l</w:t>
            </w:r>
          </w:p>
        </w:tc>
      </w:tr>
      <w:tr>
        <w:tc>
          <w:tcPr>
            <w:tcW w:type="dxa" w:w="2016"/>
          </w:tcPr>
          <w:p>
            <w:r>
              <w:t>3 — Liquidity</w:t>
            </w:r>
          </w:p>
        </w:tc>
        <w:tc>
          <w:tcPr>
            <w:tcW w:type="dxa" w:w="7344"/>
          </w:tcPr>
          <w:p>
            <w:r>
              <w:t>3.1: Quarterly tender offers (board-approved, NOT Rule 23c-3 interval). Most recent: up to 5.00% of net assets = approx $290,123,923 (approx 15,084,500 shares), optional +2.00% upsize without amendment. Implies fund net asset</w:t>
              <w:br/>
              <w:t>3.2: Q2-2026 tender mechanics (SC TO-I filed 2026-05-06; Rule 13e-4 issuer tender offer, all three classes): SIZE up to ~5.00% of 3/31/2026 net assets (~$290,123,923, ~15,084,500 shares; NAV/share 3/31/26: Class D $19.27, I $</w:t>
              <w:br/>
              <w:t xml:space="preserve">3.3: CONTINUITY: SC TO-I Item 5 states the Fund 'has previously offered to repurchase Shares ... on a quarterly basis beginning with the quarter ended June 30, 2021' - an unbroken quarterly tender record since the first full </w:t>
              <w:br/>
              <w:t>3.4: As of March 31, 2026: total net assets $5,785,749,989. Composition (% of net assets, Consolidated Schedule of Investments): Investments 105.9% — Direct Investments 45.5% (Direct Credit 1.4%, Direct Equity 44.1%), Seconda</w:t>
            </w:r>
          </w:p>
        </w:tc>
      </w:tr>
      <w:tr>
        <w:tc>
          <w:tcPr>
            <w:tcW w:type="dxa" w:w="2016"/>
          </w:tcPr>
          <w:p>
            <w:r>
              <w:t>4 — Valuation</w:t>
            </w:r>
          </w:p>
        </w:tc>
        <w:tc>
          <w:tcPr>
            <w:tcW w:type="dxa" w:w="7344"/>
          </w:tcPr>
          <w:p>
            <w:r>
              <w:t>4.1: Effective September 8, 2022, pursuant to Rule 2a-5, the Board designated the Adviser (Hamilton Lane Advisors, L.L.C.) as its valuation designee ('Valuation Designee') to perform fair value determinations, and approved ne</w:t>
              <w:br/>
              <w:t>4.2: ASC 820 hierarchy at 3/31/2026: Level I $529,492,964 (all Short Term Investments); Level II $0 (fund held no Level II securities); Level III $562,354,022 (Direct Credit $79,199,618 + Direct Equity $455,391,311 + Secondar</w:t>
              <w:br/>
              <w:t>4.3: Independent valuation firms are used but NOT named: N-CSR states the Adviser 'utilizes independent valuation firms to provide third-party valuation consulting services for Direct Investments' (same sentence appears in 48</w:t>
              <w:br/>
              <w:t xml:space="preserve">4.4: Note 4 quantitative unobservable-inputs table as of 3/31/2026 (Level III only, $562,354,022 total; the $5,037,585,848 valued at NAV practical expedient - i.e., the bulk of the portfolio - is EXCLUDED from this table and </w:t>
            </w:r>
          </w:p>
        </w:tc>
      </w:tr>
      <w:tr>
        <w:tc>
          <w:tcPr>
            <w:tcW w:type="dxa" w:w="2016"/>
          </w:tcPr>
          <w:p>
            <w:r>
              <w:t>5 — Performance Benchmarks</w:t>
            </w:r>
          </w:p>
        </w:tc>
        <w:tc>
          <w:tcPr>
            <w:tcW w:type="dxa" w:w="7344"/>
          </w:tcPr>
          <w:p>
            <w:r>
              <w:t>5.1: Stated comparators in shareholder report: S&amp;P 500 Index and MSCI World Index (defined in Fund Performance footnotes).</w:t>
              <w:br/>
              <w:t>5.3: Alt asset-class index candidates evaluated by the engine (incl. paid/manual ones deliberately kept in the menu and rejected with reasons): Listed private equity investable proxy (PSP) (9/12) | MSCI World investable proxy</w:t>
              <w:br/>
              <w:t>5.4: Peer cohort (lane C) as constructed by the engine: evergreen-PE peers in universe: stepstone_spm, kkr_kpec (annual granularity; see their 1.2 cells). Universe = this roster; a market-wide peer database is licensed data n</w:t>
              <w:br/>
              <w:t>5.5: PME inputs (computed, primary comparison): window 2021-03-31 to 2026-03-31; fund growth 2.0386x vs index 1.0419x; flows = [-1 at window start, terminal growth at end]; index = primary candidate series (adj close). KS-PME</w:t>
            </w:r>
          </w:p>
        </w:tc>
      </w:tr>
      <w:tr>
        <w:tc>
          <w:tcPr>
            <w:tcW w:type="dxa" w:w="2016"/>
          </w:tcPr>
          <w:p>
            <w:r>
              <w:t>6 — Complexity</w:t>
            </w:r>
          </w:p>
        </w:tc>
        <w:tc>
          <w:tcPr>
            <w:tcW w:type="dxa" w:w="7344"/>
          </w:tcPr>
          <w:p>
            <w:r>
              <w:t xml:space="preserve">6.1: Legal form: Delaware statutory trust (organized February 7, 2020), registered non-diversified closed-end management investment company; RIC under Subchapter M (taxable year ends September 30; fiscal year ends March 31). </w:t>
              <w:br/>
              <w:t>6.2: 80% policy (486BPOS, 2021-dated): under normal circumstances at least 80% of net assets (plus borrowings for investment purposes) in 'private assets' = Direct Investments (excluding listed PE), Portfolio Funds, Secondary</w:t>
              <w:br/>
              <w:t>6.3: 486BPOS 'CONFLICTS OF INTEREST' section (2021) discloses under subheadings: Affiliates (adviser/affiliates may advise competing vehicles, no obligation to refer opportunities; shareholders deemed to waive conflict claims</w:t>
              <w:br/>
              <w:t xml:space="preserve">6.4: Form 1099-DIV (fund is a RIC): shareholders receive IRS Form 1099-DIV after each calendar year showing ordinary income / qualified dividend income / long-term capital gain character; cost basis reported on Form 1099 for </w:t>
            </w:r>
          </w:p>
        </w:tc>
      </w:tr>
    </w:tbl>
    <w:p>
      <w:pPr>
        <w:pStyle w:val="Heading1"/>
      </w:pPr>
      <w:r>
        <w:t>Benchmark selection and justification</w:t>
      </w:r>
    </w:p>
    <w:p>
      <w:pPr>
        <w:pStyle w:val="Heading2"/>
      </w:pPr>
      <w:r>
        <w:t>Primary: Listed private equity investable proxy (PSP) — score 9/12</w:t>
      </w:r>
    </w:p>
    <w:p>
      <w:r>
        <w:t>Window 2021-03-31 to 2026-03-31: fund 15.31%/yr vs benchmark 0.83%/yr; KS-PME 1.9565; Direct Alpha 14.37%/yr. Disclosure: PME and alpha computed on appraisal-lagged NAVs are window-sensitive and can be smoothing-flattered; conclusions should be read with the methodology's window-sensitivity analysis.</w:t>
      </w:r>
    </w:p>
    <w:p>
      <w:pPr>
        <w:pStyle w:val="ListBullet"/>
      </w:pPr>
      <w:r>
        <w:t>strategy_match 2/3: listed GPs/holdcos - PE exposure with public-market beta</w:t>
      </w:r>
    </w:p>
    <w:p>
      <w:pPr>
        <w:pStyle w:val="ListBullet"/>
      </w:pPr>
      <w:r>
        <w:t>risk_liquidity_match 1/3: daily-liquid proxy vs semi-liquid fund - vol/liquidity regimes differ</w:t>
      </w:r>
    </w:p>
    <w:p>
      <w:pPr>
        <w:pStyle w:val="ListBullet"/>
      </w:pPr>
      <w:r>
        <w:t>investability 2/2: investable, priced daily</w:t>
      </w:r>
    </w:p>
    <w:p>
      <w:pPr>
        <w:pStyle w:val="ListBullet"/>
      </w:pPr>
      <w:r>
        <w:t>data_quality 2/2: daily series</w:t>
      </w:r>
    </w:p>
    <w:p>
      <w:pPr>
        <w:pStyle w:val="ListBullet"/>
      </w:pPr>
      <w:r>
        <w:t>provider_independence 2/2: provider unaffiliated with the fund</w:t>
      </w:r>
    </w:p>
    <w:p>
      <w:pPr>
        <w:pStyle w:val="Heading2"/>
      </w:pPr>
      <w:r>
        <w:t>Secondary: MSCI World investable proxy (URTH) — score 8/12</w:t>
      </w:r>
    </w:p>
    <w:p>
      <w:r>
        <w:t>Window 2021-03-31 to 2026-03-31: fund 15.31%/yr vs benchmark 10.48%/yr; KS-PME 1.2386; Direct Alpha 4.37%/yr. Disclosure: PME and alpha computed on appraisal-lagged NAVs are window-sensitive and can be smoothing-flattered; conclusions should be read with the methodology's window-sensitivity analysis.</w:t>
      </w:r>
    </w:p>
    <w:p>
      <w:pPr>
        <w:pStyle w:val="ListBullet"/>
      </w:pPr>
      <w:r>
        <w:t>strategy_match 1/3: public equities - liquidity/leverage profile differs materially</w:t>
      </w:r>
    </w:p>
    <w:p>
      <w:pPr>
        <w:pStyle w:val="ListBullet"/>
      </w:pPr>
      <w:r>
        <w:t>risk_liquidity_match 1/3: daily-liquid proxy vs semi-liquid fund - vol/liquidity regimes differ</w:t>
      </w:r>
    </w:p>
    <w:p>
      <w:pPr>
        <w:pStyle w:val="ListBullet"/>
      </w:pPr>
      <w:r>
        <w:t>investability 2/2: investable, priced daily</w:t>
      </w:r>
    </w:p>
    <w:p>
      <w:pPr>
        <w:pStyle w:val="ListBullet"/>
      </w:pPr>
      <w:r>
        <w:t>data_quality 2/2: daily series</w:t>
      </w:r>
    </w:p>
    <w:p>
      <w:pPr>
        <w:pStyle w:val="ListBullet"/>
      </w:pPr>
      <w:r>
        <w:t>provider_independence 2/2: provider unaffiliated with the fund</w:t>
      </w:r>
    </w:p>
    <w:p>
      <w:pPr>
        <w:pStyle w:val="Heading2"/>
      </w:pPr>
      <w:r>
        <w:t>Rejection log (candidates considered and not selected)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</w:tcPr>
          <w:p>
            <w:r>
              <w:t>Candidate</w:t>
            </w:r>
          </w:p>
        </w:tc>
        <w:tc>
          <w:tcPr>
            <w:tcW w:type="dxa" w:w="1152"/>
          </w:tcPr>
          <w:p>
            <w:r>
              <w:t>Score</w:t>
            </w:r>
          </w:p>
        </w:tc>
        <w:tc>
          <w:tcPr>
            <w:tcW w:type="dxa" w:w="4752"/>
          </w:tcPr>
          <w:p>
            <w:r>
              <w:t>Reason</w:t>
            </w:r>
          </w:p>
        </w:tc>
      </w:tr>
      <w:tr>
        <w:tc>
          <w:tcPr>
            <w:tcW w:type="dxa" w:w="3456"/>
          </w:tcPr>
          <w:p>
            <w:r>
              <w:t>PME / Direct Alpha vs PSP</w:t>
            </w:r>
          </w:p>
        </w:tc>
        <w:tc>
          <w:tcPr>
            <w:tcW w:type="dxa" w:w="1152"/>
          </w:tcPr>
          <w:p>
            <w:r>
              <w:t>8/12</w:t>
            </w:r>
          </w:p>
        </w:tc>
        <w:tc>
          <w:tcPr>
            <w:tcW w:type="dxa" w:w="4752"/>
          </w:tcPr>
          <w:p>
            <w:r>
              <w:t>outranked: score 8/12 vs primary 9/12 and secondary 8/12 - only two slots; retained in log as viable alternate</w:t>
            </w:r>
          </w:p>
        </w:tc>
      </w:tr>
      <w:tr>
        <w:tc>
          <w:tcPr>
            <w:tcW w:type="dxa" w:w="3456"/>
          </w:tcPr>
          <w:p>
            <w:r>
              <w:t>Cambridge Associates US PE benchmark</w:t>
            </w:r>
          </w:p>
        </w:tc>
        <w:tc>
          <w:tcPr>
            <w:tcW w:type="dxa" w:w="1152"/>
          </w:tcPr>
          <w:p>
            <w:r>
              <w:t>7/12</w:t>
            </w:r>
          </w:p>
        </w:tc>
        <w:tc>
          <w:tcPr>
            <w:tcW w:type="dxa" w:w="4752"/>
          </w:tcPr>
          <w:p>
            <w:r>
              <w:t>outranked: score 7/12 vs primary 9/12 and secondary 8/12 - only two slots; retained in log as viable alternate</w:t>
            </w:r>
          </w:p>
        </w:tc>
      </w:tr>
      <w:tr>
        <w:tc>
          <w:tcPr>
            <w:tcW w:type="dxa" w:w="3456"/>
          </w:tcPr>
          <w:p>
            <w:r>
              <w:t>Peer cohort: evergreen_pe (hl_paf, stepstone_spm, kkr_kpec, ares_pmf, amg_pantheon)</w:t>
            </w:r>
          </w:p>
        </w:tc>
        <w:tc>
          <w:tcPr>
            <w:tcW w:type="dxa" w:w="1152"/>
          </w:tcPr>
          <w:p>
            <w:r>
              <w:t>7/12</w:t>
            </w:r>
          </w:p>
        </w:tc>
        <w:tc>
          <w:tcPr>
            <w:tcW w:type="dxa" w:w="4752"/>
          </w:tcPr>
          <w:p>
            <w:r>
              <w:t>outranked: score 7/12 vs primary 9/12 and secondary 8/12 - only two slots; retained in log as viable alternate</w:t>
            </w:r>
          </w:p>
        </w:tc>
      </w:tr>
    </w:tbl>
    <w:p>
      <w:pPr>
        <w:pStyle w:val="Heading1"/>
      </w:pPr>
      <w:r>
        <w:t>Peer cohort placement</w:t>
      </w:r>
    </w:p>
    <w:p>
      <w:r>
        <w:t>Evidence depth tier: FULL. Cohort: Evergreen private equity ('40-Act funds + '34-Act conglomerate) (n=5). Membership rationale: Evergreen PE fund-of-funds/secondaries in a tender-offer wrapper - founding cohort member.</w:t>
      </w:r>
    </w:p>
    <w:p>
      <w:r>
        <w:t>Cohort placement (evergreen_pe, R4 phrasing): mgmt fee: 50th percentile of cohort (n=5), at the median of 1.4 | expense ratio (bases differ - see notes): 70th percentile of cohort (n=5), above the median of 3.19 | repurchase cap: 12th percentile of cohort (n=4), at the median of 5. Stats + caveats in the cohort artifact; the prior universe-of-6 percentile is superseded by cohort placement.</w:t>
      </w:r>
    </w:p>
    <w:p>
      <w:pPr>
        <w:pStyle w:val="ListBullet"/>
      </w:pPr>
      <w:r>
        <w:t>Caveat: PRICING-BASIS MIX: some members transact at NAV, others at exchange market price - return comparisons mix appraisal dynamics with premium/discount dynamics; composites across this line are refused, not averaged. [amg_pantheon: NAV; ares_pmf: NAV; hl_paf: NAV; kkr_kpec: transactional NAV; stepstone_spm: NAV]</w:t>
      </w:r>
    </w:p>
    <w:p>
      <w:pPr>
        <w:pStyle w:val="ListBullet"/>
      </w:pPr>
      <w:r>
        <w:t>Caveat: LEVERAGE-REGIME MIX: BDC 150% coverage and non-1940-Act wrappers allow materially more leverage than 1940-Act funds - fee bases and return volatility are not like-for-like. [amg_pantheon: 1940-Act asset-coverage limits; ares_pmf: 1940-Act asset-coverage limits; hl_paf: 1940-Act asset-coverage limits; kkr_kpec: no 1940-Act leverage limits (34-Act conglomerate); stepstone_spm: 1940-Act asset-coverage limits]</w:t>
      </w:r>
    </w:p>
    <w:p>
      <w:pPr>
        <w:pStyle w:val="ListBullet"/>
      </w:pPr>
      <w:r>
        <w:t>Caveat: LIQUIDITY-LAW MIX: Rule 23c-3 obligations, discretionary tenders, and repurchase plans give different worst-case exit rights; cadence numbers alone overstate comparability. [amg_pantheon: board-DISCRETIONARY tender offers (nothing compels the next one); ares_pmf: board-DISCRETIONARY tender offers (nothing compels the next one); hl_paf: board-DISCRETIONARY tender offers (nothing compels the next one); kkr_kpec: board-discretionary share repurchases; stepstone_spm: board-DISCRETIONARY tender offers (nothing compels the next one)]</w:t>
      </w:r>
    </w:p>
    <w:p>
      <w:pPr>
        <w:pStyle w:val="ListBullet"/>
      </w:pPr>
      <w:r>
        <w:t>Caveat: NAV-CADENCE MIX: daily, monthly, and quarterly NAV processes embed different appraisal smoothing; volatility and drawdown comparisons inherit that difference (see de-smoothing lab). [amg_pantheon: daily-to-monthly NAV; ares_pmf: daily-to-monthly NAV; hl_paf: daily-to-monthly NAV; kkr_kpec: monthly transactional NAV; stepstone_spm: daily-to-monthly NAV]</w:t>
      </w:r>
    </w:p>
    <w:p>
      <w:pPr>
        <w:pStyle w:val="ListBullet"/>
      </w:pPr>
      <w:r>
        <w:t>Caveat: kkr_kpec joins under the authorized fallback: its structural twins are Reg D vehicles with no public filings (data/roster_decisions.md - 'The kkr_kpec ruling'). Cross-wrapper caveats apply.</w:t>
      </w:r>
    </w:p>
    <w:p>
      <w:r>
        <w:t>Cohort exclusion log: every candidate considered and not admitted is recorded with its reason in data/roster_decisions.md (rendered on the site's Cohorts view). Membership is an argued judgment, not a tag.</w:t>
      </w:r>
    </w:p>
    <w:p>
      <w:pPr>
        <w:pStyle w:val="Heading1"/>
      </w:pPr>
      <w:r>
        <w:t>Provenance</w:t>
      </w:r>
    </w:p>
    <w:p>
      <w:r>
        <w:t>Every populated cell carries its source document, section, quote, extractor and verifier in data/evidence/. Current cell status for this product: computed: 9, extracted: 28, fetched: 1, n/a: 15, partial: 1. Cells marked extracted-unverified or computed await independent verification; verified cells have been independently re-checked.</w:t>
      </w:r>
    </w:p>
    <w:p>
      <w:r>
        <w:t>Data sources include SEC EDGAR filings (see data/manifest.csv) and DOL EBSA Form 5500 bulk data. Sponsor name NEVER appears on demo surfaces. Data is public (DOL Form 5500 FOIA files); anonymization is a project display rule, not a legal requirement.</w:t>
      </w:r>
    </w:p>
    <w:p>
      <w:pPr>
        <w:jc w:val="left"/>
      </w:pPr>
      <w:r>
        <w:br/>
        <w:t>Prepared by: ______________________    Reviewed by: ______________________    Date: 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