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Designated Investment Alternative Evaluation — Decision Memo</w:t>
      </w:r>
    </w:p>
    <w:p>
      <w:r>
        <w:rPr>
          <w:b/>
        </w:rPr>
        <w:t>Plan: US media/technology company 401(k) plan (~$570M, New York)</w:t>
        <w:br/>
      </w:r>
      <w:r>
        <w:t>Product: JLL Income Property Trust, Inc. (non-traded REIT ('34 Act reporting, perpetual NAV REIT), CIK 1314152)</w:t>
        <w:br/>
      </w:r>
      <w:r>
        <w:t>Date: 2026-08-15    Status: DRAFT — demo build; cells marked extracted-unverified pend independent verification.</w:t>
      </w:r>
    </w:p>
    <w:p>
      <w:pPr>
        <w:pStyle w:val="Heading1"/>
      </w:pPr>
      <w:r>
        <w:t>Regulatory basis</w:t>
      </w:r>
    </w:p>
    <w:p>
      <w:r>
        <w:t>DOL proposed rule, Fiduciary Duties in Selecting Designated Investment Alternatives, 91 FR 16088 (Mar. 31, 2026), RIN 1210-AC38</w:t>
      </w:r>
    </w:p>
    <w:p>
      <w:r>
        <w:t>This memo documents an evaluation of the product below as a potential designated investment alternative (DIA) for the plan, structured on the six factors of the proposed rule: performance, fees and expenses, liquidity, valuation, performance benchmarks, and complexity. The proposed safe harbor attaches to a documented, objective, thorough and analytical process; this memo and its underlying evidence files constitute that record.</w:t>
      </w:r>
    </w:p>
    <w:p>
      <w:r>
        <w:t>On benchmarks, the proposal requires comparison against a meaningful benchmark and acknowledges that no single benchmark is meaningful for every DIA; where none exists, the history of a similar type of investment may serve. The benchmark section below therefore documents the selection AND the rejections: every candidate considered, its score, and the true reason it was or was not chosen. Note: the pleading standard for benchmark-based claims is before the Supreme Court in Anderson v. Intel (argument expected October Term 2026); this memo's approach is designed to be defensible under either outcome.</w:t>
      </w:r>
    </w:p>
    <w:p>
      <w:pPr>
        <w:pStyle w:val="Heading1"/>
      </w:pPr>
      <w:r>
        <w:t>Six-factor findings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r>
              <w:t>Factor</w:t>
            </w:r>
          </w:p>
        </w:tc>
        <w:tc>
          <w:tcPr>
            <w:tcW w:type="dxa" w:w="7344"/>
          </w:tcPr>
          <w:p>
            <w:r>
              <w:t>Key findings (cell: value)</w:t>
            </w:r>
          </w:p>
        </w:tc>
      </w:tr>
      <w:tr>
        <w:tc>
          <w:tcPr>
            <w:tcW w:type="dxa" w:w="2016"/>
          </w:tcPr>
          <w:p>
            <w:r>
              <w:t>1 — Performance</w:t>
            </w:r>
          </w:p>
        </w:tc>
        <w:tc>
          <w:tcPr>
            <w:tcW w:type="dxa" w:w="7344"/>
          </w:tcPr>
          <w:p>
            <w:r>
              <w:t>1.1: PARTIAL: no printed multi-year per-class return series exists in the FY2025 10-K. What IS printed: (a) FY2025 calendar-year net total returns 3.0%-3.8% range across classes, including ~$0.63/share cash distributions, les</w:t>
              <w:br/>
              <w:t>1.2: PARTIAL: primary class Class M-I (the performance-graph class, no servicing fee); basis: NAV-based net total return 'post leverage and fees', distributions included. Printed points: FY2025 all-classes calendar return ran</w:t>
              <w:br/>
              <w:t xml:space="preserve">1.3: PARTIAL: no gross-of-fees return series is printed; every printed return is net (performance graph caption: Class M-I 'post leverage and fees'; MD&amp;A returns 'less share class-specific fees'). Printed fee-drag components </w:t>
              <w:br/>
              <w:t>1.4: FY2025 gross dividends declared and paid $0.63/share ($0.1575/quarter); FY2024 declared $0.6175; FY2023 $0.58. Per-class amounts paid net of servicing fees, FY2025: Class A $0.53147, M $0.59543, A-I $0.59525, M-I $0.6300</w:t>
            </w:r>
          </w:p>
        </w:tc>
      </w:tr>
      <w:tr>
        <w:tc>
          <w:tcPr>
            <w:tcW w:type="dxa" w:w="2016"/>
          </w:tcPr>
          <w:p>
            <w:r>
              <w:t>2 — Fees</w:t>
            </w:r>
          </w:p>
        </w:tc>
        <w:tc>
          <w:tcPr>
            <w:tcW w:type="dxa" w:w="7344"/>
          </w:tcPr>
          <w:p>
            <w:r>
              <w:t xml:space="preserve">2.1: RATE: 1.25% per annum, fixed. BASE: Company NAV, calculated DAILY (payable to Advisor LaSalle under the Advisory Agreement). Temporary waiver: from 2025-10-07 through 2026-12-31 only, Advisor waives 20% of the fixed fee </w:t>
              <w:br/>
              <w:t>2.2: Incentive terms EXIST: performance fee = 10% of the total return of each share class (or OP Unit class) in excess of 7% per annum, calculated separately per class per calendar year. Accrued when class total return per sh</w:t>
              <w:br/>
              <w:t>2.3: None exists structurally: '34 Act 10-K REIT wrapper - no 1940-Act fee table and no financial-highlights expense-ratio line ('expense ratio' = zero hits across stripped 10-K/10-Q/424B3, searched 2026-08-15). Printed fee s</w:t>
              <w:br/>
              <w:t xml:space="preserve">2.4: Not applicable - none exists: JLL IPT is a 10-K filer (non-'40-Act REIT) with no 1940-Act fee table; no 'Acquired Fund Fees and Expenses' line exists or can ('acquired fund' = zero hits in stripped 10-K, 10-Q and 424B3, </w:t>
            </w:r>
          </w:p>
        </w:tc>
      </w:tr>
      <w:tr>
        <w:tc>
          <w:tcPr>
            <w:tcW w:type="dxa" w:w="2016"/>
          </w:tcPr>
          <w:p>
            <w:r>
              <w:t>3 — Liquidity</w:t>
            </w:r>
          </w:p>
        </w:tc>
        <w:tc>
          <w:tcPr>
            <w:tcW w:type="dxa" w:w="7344"/>
          </w:tcPr>
          <w:p>
            <w:r>
              <w:t>3.1: CADENCE: DAILY - stockholders may request repurchase of all or part of their shares any day at that day's NAV per share (plan first announced 2011; contrast monthly/quarterly windows at BREIT/SREIT). CAP: 5% of the combi</w:t>
              <w:br/>
              <w:t>3.2: Price = NAV per share of the class on the DATE OF REPURCHASE (not purchase price, not prior-month NAV). Discretion: not obligated to repurchase; may honor some, all or none of requests; board may modify or suspend the pl</w:t>
              <w:br/>
              <w:t>3.3: UNBROKEN fulfillment record as disclosed: never deferred nor rejected a repurchase request through 2025-12-31 (10-K), and 100% honored in every later printed period (10-Q). Detail: Q4-2025 fulfilled 100% - 8,861,675 shar</w:t>
              <w:br/>
              <w:t>3.4: Underlying assets are illiquid direct real estate: 'The vast majority of our assets consist of properties that cannot generally be liquidated quickly.' Liquid resources printed: 2025-12-31 &gt;$103,000K total cash on hand +</w:t>
            </w:r>
          </w:p>
        </w:tc>
      </w:tr>
      <w:tr>
        <w:tc>
          <w:tcPr>
            <w:tcW w:type="dxa" w:w="2016"/>
          </w:tcPr>
          <w:p>
            <w:r>
              <w:t>4 — Valuation</w:t>
            </w:r>
          </w:p>
        </w:tc>
        <w:tc>
          <w:tcPr>
            <w:tcW w:type="dxa" w:w="7344"/>
          </w:tcPr>
          <w:p>
            <w:r>
              <w:t>4.1: NAV FREQUENCY: DAILY - struck at the end of each day the NYSE is open; 'externally advised, daily valued perpetual life REIT' (the cohort's daily-NAV cadence contrast to BREIT/SREIT monthly). Calculation: performed by AL</w:t>
              <w:br/>
              <w:t xml:space="preserve">4.2: GAAP fair-value hierarchy appears only for specific items (real estate itself is at historical cost under GAAP; the daily NAV fair-value process is separate and 'not subject to GAAP or independent audit'). Printed Level </w:t>
              <w:br/>
              <w:t>4.3: Independent valuation advisor: SitusAMC Real Estate Valuation Services, LLC - selected by the Advisor, approved by the board including a majority of independent directors; founded 1931; NOT affiliated with the Company or</w:t>
              <w:br/>
              <w:t>4.4: By asset type (Item 5 valuation guidelines): wholly owned properties - quarterly independent appraisal, income approach (DCF) primary with sales-comparison and replacement-cost alternatives, free-and-clear basis excludin</w:t>
            </w:r>
          </w:p>
        </w:tc>
      </w:tr>
      <w:tr>
        <w:tc>
          <w:tcPr>
            <w:tcW w:type="dxa" w:w="2016"/>
          </w:tcPr>
          <w:p>
            <w:r>
              <w:t>5 — Performance Benchmarks</w:t>
            </w:r>
          </w:p>
        </w:tc>
        <w:tc>
          <w:tcPr>
            <w:tcW w:type="dxa" w:w="7344"/>
          </w:tcPr>
          <w:p>
            <w:r>
              <w:t>5.1: Self-declared benchmark EXISTS: NFI-ODCE (NCREIF Fund Index - Open-End Diversified Core Equity) - endorsed in the Item 5 performance graph comparing Class M-I (post leverage and fees) against the S&amp;P 500 and ODCE, $100 i</w:t>
              <w:br/>
              <w:t>5.4: Peer cohort nontraded_reit (n=3): members, rationales, stats, composite (or its documented refusal) and caveat block in the cohort artifact; exclusions in data/roster_decisions.md.</w:t>
            </w:r>
          </w:p>
        </w:tc>
      </w:tr>
      <w:tr>
        <w:tc>
          <w:tcPr>
            <w:tcW w:type="dxa" w:w="2016"/>
          </w:tcPr>
          <w:p>
            <w:r>
              <w:t>6 — Complexity</w:t>
            </w:r>
          </w:p>
        </w:tc>
        <w:tc>
          <w:tcPr>
            <w:tcW w:type="dxa" w:w="7344"/>
          </w:tcPr>
          <w:p>
            <w:r>
              <w:t>6.1: Maryland corporation (inc. 2004-05-28), externally advised daily-valued perpetual-life REIT (REIT-taxed since 2004). UPREIT: substantially all assets held through JLLIPT Holdings, LP (Delaware; the 'operating partnership</w:t>
              <w:br/>
              <w:t>6.2: Core diversified US direct real estate: 'well-located, well-leased properties within the healthcare, industrial, residential, retail and other sectors' plus, to a lesser degree, real-estate-related assets (mortgage loans</w:t>
              <w:br/>
              <w:t>6.3: Printed conflicts web (all-affiliate stack): (1) Advisor LaSalle is paid on NAV it is ultimately responsible for calculating (fee-on-NAV conflict, quoted); (2) class-level performance fee can reward the Advisor on one cl</w:t>
              <w:br/>
              <w:t>6.5: Advisor: LaSalle Investment Management, Inc. (wholly owned subsidiary of Sponsor JLL, NYSE: JLL). Dealer Manager (public offerings + DST Program): LaSalle Investment Management Distributors, LLC (Advisor affiliate). Dail</w:t>
            </w:r>
          </w:p>
        </w:tc>
      </w:tr>
    </w:tbl>
    <w:p>
      <w:pPr>
        <w:pStyle w:val="Heading1"/>
      </w:pPr>
      <w:r>
        <w:t>Benchmark selection and justification</w:t>
      </w:r>
    </w:p>
    <w:p>
      <w:r>
        <w:t>Engine profile pending for this product — extraction depth required before selection.</w:t>
      </w:r>
    </w:p>
    <w:p>
      <w:pPr>
        <w:pStyle w:val="Heading1"/>
      </w:pPr>
      <w:r>
        <w:t>Peer cohort placement</w:t>
      </w:r>
    </w:p>
    <w:p>
      <w:r>
        <w:t>Evidence depth tier: COHORT. Cohort: Non-traded NAV REITs (n=3). Membership rationale: Perpetual NAV REIT of older vintage - same wrapper class; NAV cadence and scale differences disclosed.</w:t>
      </w:r>
    </w:p>
    <w:p>
      <w:r>
        <w:t>Cohort placement (nontraded_reit, R4 phrasing): mgmt fee: at the cohort median of 1.25 (n=3 — too small for percentile language) | expense ratio (bases differ - see notes): fact unavailable for this member | repurchase cap: above the cohort median of 3.5 (n=2 — too small for percentile language). Stats + caveats in the cohort artifact.</w:t>
      </w:r>
    </w:p>
    <w:p>
      <w:r>
        <w:t>Cohort exclusion log: every candidate considered and not admitted is recorded with its reason in data/roster_decisions.md (rendered on the site's Cohorts view). Membership is an argued judgment, not a tag.</w:t>
      </w:r>
    </w:p>
    <w:p>
      <w:pPr>
        <w:pStyle w:val="Heading1"/>
      </w:pPr>
      <w:r>
        <w:t>Provenance</w:t>
      </w:r>
    </w:p>
    <w:p>
      <w:r>
        <w:t>Every populated cell carries its source document, section, quote, extractor and verifier in data/evidence/. Current cell status for this product: computed: 4, extracted: 24, fetched: 1, n/a: 21, partial: 4. Cells marked extracted-unverified or computed await independent verification; verified cells have been independently re-checked.</w:t>
      </w:r>
    </w:p>
    <w:p>
      <w:r>
        <w:t>Data sources include SEC EDGAR filings (see data/manifest.csv) and DOL EBSA Form 5500 bulk data. Sponsor name NEVER appears on demo surfaces. Data is public (DOL Form 5500 FOIA files); anonymization is a project display rule, not a legal requirement.</w:t>
      </w:r>
    </w:p>
    <w:p>
      <w:pPr>
        <w:jc w:val="left"/>
      </w:pPr>
      <w:r>
        <w:br/>
        <w:t>Prepared by: ______________________    Reviewed by: ______________________    Date: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