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Designated Investment Alternative Evaluation — Decision Memo</w:t>
      </w:r>
    </w:p>
    <w:p>
      <w:r>
        <w:rPr>
          <w:b/>
        </w:rPr>
        <w:t>Plan: US media/technology company 401(k) plan (~$570M, New York)</w:t>
        <w:br/>
      </w:r>
      <w:r>
        <w:t>Product: Starwood Real Estate Income Trust, Inc. (non-traded REIT ('34 Act reporting), CIK 1711929)</w:t>
        <w:br/>
      </w:r>
      <w:r>
        <w:t>Date: 2026-08-15    Status: DRAFT — demo build; cells marked extracted-unverified pend independent verification.</w:t>
      </w:r>
    </w:p>
    <w:p>
      <w:pPr>
        <w:pStyle w:val="Heading1"/>
      </w:pPr>
      <w:r>
        <w:t>Regulatory basis</w:t>
      </w:r>
    </w:p>
    <w:p>
      <w:r>
        <w:t>DOL proposed rule, Fiduciary Duties in Selecting Designated Investment Alternatives, 91 FR 16088 (Mar. 31, 2026), RIN 1210-AC38</w:t>
      </w:r>
    </w:p>
    <w:p>
      <w:r>
        <w:t>This memo documents an evaluation of the product below as a potential designated investment alternative (DIA) for the plan, structured on the six factors of the proposed rule: performance, fees and expenses, liquidity, valuation, performance benchmarks, and complexity. The proposed safe harbor attaches to a documented, objective, thorough and analytical process; this memo and its underlying evidence files constitute that record.</w:t>
      </w:r>
    </w:p>
    <w:p>
      <w:r>
        <w:t>On benchmarks, the proposal requires comparison against a meaningful benchmark and acknowledges that no single benchmark is meaningful for every DIA; where none exists, the history of a similar type of investment may serve. The benchmark section below therefore documents the selection AND the rejections: every candidate considered, its score, and the true reason it was or was not chosen. Note: the pleading standard for benchmark-based claims is before the Supreme Court in Anderson v. Intel (argument expected October Term 2026); this memo's approach is designed to be defensible under either outcome.</w:t>
      </w:r>
    </w:p>
    <w:p>
      <w:pPr>
        <w:pStyle w:val="Heading1"/>
      </w:pPr>
      <w:r>
        <w:t>Six-factor findings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t>Factor</w:t>
            </w:r>
          </w:p>
        </w:tc>
        <w:tc>
          <w:tcPr>
            <w:tcW w:type="dxa" w:w="7344"/>
          </w:tcPr>
          <w:p>
            <w:r>
              <w:t>Key findings (cell: value)</w:t>
            </w:r>
          </w:p>
        </w:tc>
      </w:tr>
      <w:tr>
        <w:tc>
          <w:tcPr>
            <w:tcW w:type="dxa" w:w="2016"/>
          </w:tcPr>
          <w:p>
            <w:r>
              <w:t>1 — Performance</w:t>
            </w:r>
          </w:p>
        </w:tc>
        <w:tc>
          <w:tcPr>
            <w:tcW w:type="dxa" w:w="7344"/>
          </w:tcPr>
          <w:p>
            <w:r>
              <w:t>1.1: Printed monthly NAV-per-share series for all four classes (S/T/D/I), Jan 2025 - Dec 2025 (12 points) in FY2025 10-K Item 5; Class I path: 21.64 (Jan) -&gt; 21.48 -&gt; 21.14 -&gt; 20.97 -&gt; 20.92 -&gt; 20.92 -&gt; 20.82 -&gt; 20.59 -&gt; 20.4</w:t>
              <w:br/>
              <w:t>1.2: FY2025 10-K '2025 Highlights' table, classes in order T | S | D | I: Annualized Year-to-Date Total Return, without upfront selling commissions and dealer manager fees: (3.3%) | (3.2%) | (2.7%) | (2.4%); Annualized Incept</w:t>
              <w:br/>
              <w:t>1.3: PARTIAL: no gross-of-fees return series and no gross/net expense ratios exist - '34-Act non-traded REIT with no financial-highlights table; mechanical search of the stripped FY2025 10-K and Q2-2026 10-Q for 'expense rati</w:t>
              <w:br/>
              <w:t>1.4: FY2025: declared monthly net distributions totaling $484.8 million ($484,759K); per-share declared totals T $1.0632 | S $1.0627 | D $1.1903 | I $1.2420 (Class I $0.1035 every month of 2025). Composition FY2025: 72% payab</w:t>
            </w:r>
          </w:p>
        </w:tc>
      </w:tr>
      <w:tr>
        <w:tc>
          <w:tcPr>
            <w:tcW w:type="dxa" w:w="2016"/>
          </w:tcPr>
          <w:p>
            <w:r>
              <w:t>2 — Fees</w:t>
            </w:r>
          </w:p>
        </w:tc>
        <w:tc>
          <w:tcPr>
            <w:tcW w:type="dxa" w:w="7344"/>
          </w:tcPr>
          <w:p>
            <w:r>
              <w:t>2.1: RATE AND BASE: annual management fee of (i) 1.25% of NAV per annum, payable monthly (computed before accruals for the management fee, stockholder servicing fee, performance participation or distributions), plus (ii) 1.25</w:t>
              <w:br/>
              <w:t xml:space="preserve">2.2: Performance participation interest held by Starwood REIT Special Limited Partner, L.L.C. (wholly owned subsidiary of Starwood Capital Group Holdings): 12.5% of the Operating Partnership's annual total return (defined as </w:t>
              <w:br/>
              <w:t>2.4: Not applicable - none exists: SREIT is a '34-Act 10-K filer (not a 1940-Act registered fund), so no 'Acquired Fund Fees and Expenses' line exists or can exist. Mechanical search of the stripped FY2025 10-K and Q2-2026 10</w:t>
              <w:br/>
              <w:t>2.5: PARTIAL: SREIT owns real estate directly - no fund-of-funds layer, so no underlying GP fee/carry table exists. Printed second-layer affiliate economics: DST Manager (managed by senior members of Starwood Capital) receive</w:t>
            </w:r>
          </w:p>
        </w:tc>
      </w:tr>
      <w:tr>
        <w:tc>
          <w:tcPr>
            <w:tcW w:type="dxa" w:w="2016"/>
          </w:tcPr>
          <w:p>
            <w:r>
              <w:t>3 — Liquidity</w:t>
            </w:r>
          </w:p>
        </w:tc>
        <w:tc>
          <w:tcPr>
            <w:tcW w:type="dxa" w:w="7344"/>
          </w:tcPr>
          <w:p>
            <w:r>
              <w:t>3.1: Monthly share repurchase plan with a three-step cap SHRINK and then closure: (a) from inception (plan first announced December 2017): 2% of aggregate NAV per month + 5% per calendar quarter (measured on prior month/quart</w:t>
              <w:br/>
              <w:t>3.2: Mechanics as printed: stockholders may request repurchase of all or any portion of shares monthly; company may repurchase all, some or none in its discretion. Price = transaction price on the applicable repurchase date (</w:t>
              <w:br/>
              <w:t>3.3: THE GATING STORY, quantified from the filings: repurchase requests have consistently exceeded plan limits since October 2022 (issuer's own words, repeated in 10-K, 10-Q and 424B3). Cash-flow statement 'Repurchases of com</w:t>
              <w:br/>
              <w:t>3.4: December 31, 2025 available liquidity $527.8M: cash and cash equivalents $200,806K + available borrowings on undrawn unsecured line of credit $177,000K + undrawn senior secured revolving credit facility $150,000K - again</w:t>
            </w:r>
          </w:p>
        </w:tc>
      </w:tr>
      <w:tr>
        <w:tc>
          <w:tcPr>
            <w:tcW w:type="dxa" w:w="2016"/>
          </w:tcPr>
          <w:p>
            <w:r>
              <w:t>4 — Valuation</w:t>
            </w:r>
          </w:p>
        </w:tc>
        <w:tc>
          <w:tcPr>
            <w:tcW w:type="dxa" w:w="7344"/>
          </w:tcPr>
          <w:p>
            <w:r>
              <w:t xml:space="preserve">4.1: NAV FREQUENCY: monthly, per class, calculated by the fund administrator (The Bank of New York); NAV per share generally available within 15 calendar days after month-end; transaction price generally equals prior month's </w:t>
              <w:br/>
              <w:t>4.2: Recurring fair-value table, December 31, 2025 ($000s): ASSETS - investment in real estate debt L1 $0 / L2 $0 / L3 $915,431; derivatives L2 $83,223; total L1 $0 / L2 $83,223 / L3 $915,431 / $998,654. LIABILITIES - derivat</w:t>
              <w:br/>
              <w:t>4.3: NAMED: independent valuation advisor is Altus Group U.S. Inc. - performs quarterly update appraisals of consolidated real property, reviews the Advisor's monthly valuation updates for reasonableness, considers annual thi</w:t>
              <w:br/>
              <w:t xml:space="preserve">4.4: DCF primary methodology for real property; weighted-average key assumptions by property type at 12/31/2025 (Discount Rate / Exit Capitalization Rate): Multifamily 6.9% / 5.5%; Industrial 7.3% / 5.8%; Office 8.0% / 6.8%; </w:t>
            </w:r>
          </w:p>
        </w:tc>
      </w:tr>
      <w:tr>
        <w:tc>
          <w:tcPr>
            <w:tcW w:type="dxa" w:w="2016"/>
          </w:tcPr>
          <w:p>
            <w:r>
              <w:t>5 — Performance Benchmarks</w:t>
            </w:r>
          </w:p>
        </w:tc>
        <w:tc>
          <w:tcPr>
            <w:tcW w:type="dxa" w:w="7344"/>
          </w:tcPr>
          <w:p>
            <w:r>
              <w:t>5.1: ABSENCE DOCUMENTED (searched 2026-08-15): SREIT declares NO benchmark index anywhere in the FY2025 10-K - zero hits for MSCI, ODCE and NCREIF; 'NAREIT' appears only as the standard-setter defining FFO ('FFO is a standard</w:t>
              <w:br/>
              <w:t>5.3: Candidates evaluated incl. paid/manual indices and the real peer-cohort lane; full scoring + rejection ledger in the selection artifact.</w:t>
              <w:br/>
              <w:t>5.4: Peer cohort nontraded_reit (n=3): members, rationales, stats, composite (or its documented refusal) and caveat block in the cohort artifact; exclusions in data/roster_decisions.md.</w:t>
              <w:br/>
              <w:t>5.5: PME inputs (computed): window 2024-12-31 to 2025-12-31; flows [-1, 0.976]; index daily-anchored. KS-PME 0.9453, Direct Alpha -5.47%/yr.</w:t>
            </w:r>
          </w:p>
        </w:tc>
      </w:tr>
      <w:tr>
        <w:tc>
          <w:tcPr>
            <w:tcW w:type="dxa" w:w="2016"/>
          </w:tcPr>
          <w:p>
            <w:r>
              <w:t>6 — Complexity</w:t>
            </w:r>
          </w:p>
        </w:tc>
        <w:tc>
          <w:tcPr>
            <w:tcW w:type="dxa" w:w="7344"/>
          </w:tcPr>
          <w:p>
            <w:r>
              <w:t xml:space="preserve">6.1: Starwood Real Estate Income Trust, Inc.: Maryland corporation formed June 22, 2017; non-listed perpetual NAV REIT (REIT election commencing taxable year ended December 31, 2019). UPREIT: sole general partner of Starwood </w:t>
              <w:br/>
              <w:t>6.2: Strategy: invests primarily in stabilized, income-oriented commercial real estate and debt secured by commercial real estate. Five reportable segments (recast effective 1/1/2025; Single-Family Rental and Self-Storage mer</w:t>
              <w:br/>
              <w:t xml:space="preserve">6.3: Related-party web as printed: Due to affiliates $235,809K at 12/31/2025 ($275,601K at 12/31/2024). Management fee (1.25% of NAV, waived to 1% since May 2024) always paid in shares - 3,870,226 unregistered Class I shares </w:t>
              <w:br/>
              <w:t>6.4: PARTIAL: investor tax form NOT literally printed in the on-disk documents - zero hits for '1099' in the stripped FY2025 10-K, Q2-2026 10-Q and 424B3 Supplement No. 7 (searched 2026-08-15). What IS printed: corporate REIT</w:t>
            </w:r>
          </w:p>
        </w:tc>
      </w:tr>
    </w:tbl>
    <w:p>
      <w:pPr>
        <w:pStyle w:val="Heading1"/>
      </w:pPr>
      <w:r>
        <w:t>Benchmark selection and justification</w:t>
      </w:r>
    </w:p>
    <w:p>
      <w:pPr>
        <w:pStyle w:val="Heading2"/>
      </w:pPr>
      <w:r>
        <w:t>Primary: Listed REIT investable proxy (VNQ) — score 9/12</w:t>
      </w:r>
    </w:p>
    <w:p>
      <w:r>
        <w:t>Window 2024-12-31 to 2025-12-31: fund -2.4%/yr vs benchmark 3.25%/yr; KS-PME 0.9453; Direct Alpha -5.47%/yr.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2/3: listed equity REITs - same asset class, but exchange pricing vs monthly appraisal NAV is a regime difference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Secondary: NCREIF Fund Index - ODCE (private core RE) — score 8/12</w:t>
      </w:r>
    </w:p>
    <w:p>
      <w:pPr>
        <w:pStyle w:val="ListBullet"/>
      </w:pPr>
      <w:r>
        <w:t>strategy_match 3/3: private open-end core RE funds - the strategy-exact yardstick; index data is member/subscription distribution, series not held</w:t>
      </w:r>
    </w:p>
    <w:p>
      <w:pPr>
        <w:pStyle w:val="ListBullet"/>
      </w:pPr>
      <w:r>
        <w:t>risk_liquidity_match 2/3: appraisal-cadence series, closer to the fund's NAV process</w:t>
      </w:r>
    </w:p>
    <w:p>
      <w:pPr>
        <w:pStyle w:val="ListBullet"/>
      </w:pPr>
      <w:r>
        <w:t>investability 0/2: not investable / not held</w:t>
      </w:r>
    </w:p>
    <w:p>
      <w:pPr>
        <w:pStyle w:val="ListBullet"/>
      </w:pPr>
      <w:r>
        <w:t>data_quality 1/2: quarterly-manual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Rejection log (candidates considered and not 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>
              <w:t>Candidate</w:t>
            </w:r>
          </w:p>
        </w:tc>
        <w:tc>
          <w:tcPr>
            <w:tcW w:type="dxa" w:w="1152"/>
          </w:tcPr>
          <w:p>
            <w:r>
              <w:t>Score</w:t>
            </w:r>
          </w:p>
        </w:tc>
        <w:tc>
          <w:tcPr>
            <w:tcW w:type="dxa" w:w="4752"/>
          </w:tcPr>
          <w:p>
            <w:r>
              <w:t>Reason</w:t>
            </w:r>
          </w:p>
        </w:tc>
      </w:tr>
      <w:tr>
        <w:tc>
          <w:tcPr>
            <w:tcW w:type="dxa" w:w="3456"/>
          </w:tcPr>
          <w:p>
            <w:r>
              <w:t>PME / Direct Alpha vs VNQ</w:t>
            </w:r>
          </w:p>
        </w:tc>
        <w:tc>
          <w:tcPr>
            <w:tcW w:type="dxa" w:w="1152"/>
          </w:tcPr>
          <w:p>
            <w:r>
              <w:t>8/12</w:t>
            </w:r>
          </w:p>
        </w:tc>
        <w:tc>
          <w:tcPr>
            <w:tcW w:type="dxa" w:w="4752"/>
          </w:tcPr>
          <w:p>
            <w:r>
              <w:t>outranked: score 8/12 vs primary 9/12 and secondary 8/12 - only two slots; retained in log as viable alternate</w:t>
            </w:r>
          </w:p>
        </w:tc>
      </w:tr>
      <w:tr>
        <w:tc>
          <w:tcPr>
            <w:tcW w:type="dxa" w:w="3456"/>
          </w:tcPr>
          <w:p>
            <w:r>
              <w:t>Cambridge Associates Real Estate benchmark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8/12 - only two slots; retained in log as viable alternate</w:t>
            </w:r>
          </w:p>
        </w:tc>
      </w:tr>
      <w:tr>
        <w:tc>
          <w:tcPr>
            <w:tcW w:type="dxa" w:w="3456"/>
          </w:tcPr>
          <w:p>
            <w:r>
              <w:t>Peer cohort: nontraded_reit (breit, sreit, jll_ipt)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8/12 - only two slots; retained in log as viable alternate</w:t>
            </w:r>
          </w:p>
        </w:tc>
      </w:tr>
    </w:tbl>
    <w:p>
      <w:pPr>
        <w:pStyle w:val="Heading1"/>
      </w:pPr>
      <w:r>
        <w:t>Peer cohort placement</w:t>
      </w:r>
    </w:p>
    <w:p>
      <w:r>
        <w:t>Evidence depth tier: COHORT. Cohort: Non-traded NAV REITs (n=3). Membership rationale: Non-traded monthly-NAV REIT - breit's closest structural twin (class structure, repurchase plan, 2022-24 stress history).</w:t>
      </w:r>
    </w:p>
    <w:p>
      <w:r>
        <w:t>Cohort placement (nontraded_reit, R4 phrasing): mgmt fee: at the cohort median of 1.25 (n=3 — too small for percentile language) | expense ratio (bases differ - see notes): fact unavailable for this member | repurchase cap: fact unavailable for this member. Stats + caveats in the cohort artifact.</w:t>
      </w:r>
    </w:p>
    <w:p>
      <w:r>
        <w:t>Cohort exclusion log: every candidate considered and not admitted is recorded with its reason in data/roster_decisions.md (rendered on the site's Cohorts view). Membership is an argued judgment, not a tag.</w:t>
      </w:r>
    </w:p>
    <w:p>
      <w:pPr>
        <w:pStyle w:val="Heading1"/>
      </w:pPr>
      <w:r>
        <w:t>Provenance</w:t>
      </w:r>
    </w:p>
    <w:p>
      <w:r>
        <w:t>Every populated cell carries its source document, section, quote, extractor and verifier in data/evidence/. Current cell status for this product: computed: 8, extracted: 24, fetched: 1, n/a: 16, partial: 5. Cells marked extracted-unverified or computed await independent verification; verified cells have been independently re-checked.</w:t>
      </w:r>
    </w:p>
    <w:p>
      <w:r>
        <w:t>Data sources include SEC EDGAR filings (see data/manifest.csv) and DOL EBSA Form 5500 bulk data. Sponsor name NEVER appears on demo surfaces. Data is public (DOL Form 5500 FOIA files); anonymization is a project display rule, not a legal requirement.</w:t>
      </w:r>
    </w:p>
    <w:p>
      <w:pPr>
        <w:jc w:val="left"/>
      </w:pPr>
      <w:r>
        <w:br/>
        <w:t>Prepared by: ______________________    Reviewed by: 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