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StepStone Private Markets (tender-offer fund ('40 Act), CIK 1789470)</w:t>
        <w:br/>
      </w:r>
      <w:r>
        <w:t>Date: 2026-08-15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Class I NAV per share, end of FY (from Consolidated Financial Highlights, FYE Mar 31): FY2022 $43.07, FY2023 $45.61, FY2024 $51.73, FY2025 $56.54, FY2026 $61.74. FY total returns in 1.2; structured series in data/series_</w:t>
              <w:br/>
              <w:t>1.2: Class I FY2026 total return 10.47%. AATR as of 3/31/2026: Class I 1yr 10.47% / 5yr 12.92% / SI 19.19%; Class D 10.19 / 12.72 / 18.96. Class I/D/S inception 10/1/2020; Class R 1/2/2026.</w:t>
              <w:br/>
              <w:t>1.3: Financial highlights print paired ratio rows 'Expenses before adviser expense recoupment (reimbursement)' vs 'Expenses after adviser expense recoupment (reimbursement)'. FY2026: IDENTICAL for all classes - Class I 1.91%/</w:t>
              <w:br/>
              <w:t>1.4: FY2026 (year ended 3/31/2026) Class I per-share distributions: total $0.70 = $0.01 from net investment income + $0.69 from net realized gains (FY2025 $0.72 = 0.18 + 0.54; FY2024 $0.16; FY2023 $0.96; FY2022 $0.48). No ret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1.40% annualized on daily NET ASSETS (contrast: PAF charges same 1.40% on MANAGED ASSETS incl. leverage — fee-base comparison lands).</w:t>
              <w:br/>
              <w:t>2.2: No fund-level incentive fee identified in N-CSR or prospectus. Underlying Investment Funds charge 1.00%-2.00% mgmt + performance fees (the AFFE layer).</w:t>
              <w:br/>
              <w:t>2.3: FY2026 (year ended 3/31/2026) expenses to average net assets: Class I 1.91%, Class D 2.17%, Class S 2.77% - before and after adviser recoupment/reimbursement identical in FY2026 (no net waiver effect). 5-yr trend (before</w:t>
              <w:br/>
              <w:t>2.4: AFFE line present in fee table: Acquired Fund Fees and Expenses 0.59% for ALL classes (S, D, I, R). Footnote (2): based on historic returns of the Investment Funds the Fund invested in during the 12 months ended December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Quarterly tender offers: up to 5% of OUTSTANDING SHARES (vs PAF's 5% of net assets - different cap base), purchased at NAV.</w:t>
              <w:br/>
              <w:t>3.2: Current tender offer (SC TO-I filed 5/12/2026): Commencement Date May 12, 2026; Notice Date, Tender Withdrawal Date AND Valuation Date all June 16, 2026 (single-date design; all deadlines 4:00 p.m. ET). Pricing: each ten</w:t>
              <w:br/>
              <w:t>3.3: N-CSR Note 10 repurchase history: FY2026 (ended 3/31/2026) 13,195,058 Shares repurchased vs FY2025 3,242,403 - a 4x year-over-year jump. For the September 15, 2025 repurchase, the Adviser recommended and the Board electe</w:t>
              <w:br/>
              <w:t>3.4: As of 3/31/2026, total investments $5,985,219,502: Level 1 $56,631,533 (Public Securities only); Level 2 $0; Level 3 $291,577,842 (all Co-Investments, incl. CLO and CLO Warehouse positions valued with significant unobser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Valuation: pursuant to Rule 2a-5, the Board has designated the Adviser (StepStone Group Private Wealth LLC) as valuation designee to perform fair value determinations; Board approved the Adviser's Valuation Policy; Advis</w:t>
              <w:br/>
              <w:t>4.2: Full ASC 820 hierarchy table as of 3/31/2026 (N-CSR Note 3): Level 1 - Public Securities $56,631,533 (the only L1 row); Level 2 - $0 across all rows; Level 3 - Co-Investments $291,577,842 (only L3 row; includes CLO and C</w:t>
              <w:br/>
              <w:t>4.3: No NAMED third-party valuation firm anywhere in the on-disk docs (N-CSR FY2026, 486BPOS 2025-10-20, 424B3 2025-12-31, SC TO-I 2026-05-12): zero hits for Kroll/Houlihan/Duff &amp; Phelps/Lincoln International/Alvarez/Murray D</w:t>
              <w:br/>
              <w:t>4.4: N-CSR Note 3 quantitative Level 3 inputs table as of 3/31/2026 (all rows are Co-Investments; sums to the $291,577,842 L3 total): (1) $8,369,719 - Market comparable companies; EV/EBITDA multiple 9.61x-14.40x, wtd avg 13.2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Stated primary benchmark: MSCI World Index.</w:t>
              <w:br/>
              <w:t>5.3: Alt asset-class index candidates evaluated by the engine (incl. paid/manual ones deliberately kept in the menu and rejected with reasons): Listed private equity investable proxy (PSP) (9/12) | MSCI World investable proxy</w:t>
              <w:br/>
              <w:t>5.4: Peer cohort (lane C) as constructed by the engine: evergreen-PE peers in universe: hl_paf, kkr_kpec (annual granularity; see their 1.2 cells). Universe = this roster; a market-wide peer database is licensed data not held</w:t>
              <w:br/>
              <w:t>5.5: PME inputs (computed, primary comparison): window 2021-03-31 to 2026-03-31; fund growth 1.8359x vs index 1.0419x; flows = [-1 at window start, terminal growth at end]; index = primary candidate series (adj close). KS-PME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StepStone Private Markets: Delaware statutory trust organized 9/6/2019 under the Delaware Statutory Trust Act; registered under the 1940 Act as a DIVERSIFIED, closed-end management investment company; commenced operation</w:t>
              <w:br/>
              <w:t xml:space="preserve">6.2: Strategy sleeves: (1) Secondary Investments - secondary purchases of existing interests in operating companies/projects/properties and unaffiliated Investment Funds, incl. Open-Ended Funds, 'Seasoned Investments' (funds </w:t>
              <w:br/>
              <w:t>6.3: Conflicts disclosures (prospectus 'Conflicts of Interest' section): Advisers manage substantial Other Accounts with differing economic interests and time-allocation conflicts; Other Accounts may take larger stakes or inv</w:t>
              <w:br/>
              <w:t>6.4: 1099 reporting, marketed as a feature: prospectus lists 'Form 1099 DIV or Form 1099-B tax reporting instead of K-1s' under Favorable Structure - the direct contrast to K-PEC's K-1s. The complexity factor's cleanest cross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— score 9/12</w:t>
      </w:r>
    </w:p>
    <w:p>
      <w:r>
        <w:t>Window 2021-03-31 to 2026-03-31: fund 12.92%/yr vs benchmark 0.83%/yr; KS-PME 1.762; Direct Alpha 12.0%/yr.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listed GPs/holdcos - PE exposure with public-market beta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— score 8/12</w:t>
      </w:r>
    </w:p>
    <w:p>
      <w:r>
        <w:t>Window 2021-03-31 to 2026-03-31: fund 12.92%/yr vs benchmark 10.48%/yr; KS-PME 1.1155; Direct Alpha 2.21%/yr.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public equities - liquidity/leverage profile differs materially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evergreen_pe (hl_paf, stepstone_spm, kkr_kpec, ares_pmf, amg_pantheon)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FULL. Cohort: Evergreen private equity ('40-Act funds + '34-Act conglomerate) (n=5). Membership rationale: Evergreen PE multi-strategy (secondaries-led) tender-offer fund - founding cohort member.</w:t>
      </w:r>
    </w:p>
    <w:p>
      <w:r>
        <w:t>Cohort placement (evergreen_pe, R4 phrasing): mgmt fee: 50th percentile of cohort (n=5), at the median of 1.4 | expense ratio (bases differ - see notes): 10th percentile of cohort (n=5), below the median of 3.19 | repurchase cap: 12th percentile of cohort (n=4), at the median of 5. Stats + caveats in the cohort artifact; the prior universe-of-6 percentile is superseded by cohort placement.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9, extracted: 27, fetched: 1, n/a: 15, partial: 2. Cells marked extracted-unverified or computed await independent verification; verified cells have been independently re-checked.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