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2024-12-31 to 2025-12-31: fund -2.4%/yr vs benchmark 3.25%/yr, KS-PME 0.9453, Direct Alpha -5.47%/yr. Disclosure: PME and alpha computed on appraisal-lagged NAVs are window-sensitive and can be smoothing-flattered. Conclusions should be read with the methodology's window-sensitivity analysis. Low confidence: 1-year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reits for core plus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pPr>
        <w:pStyle w:val="ListBullet"/>
      </w:pPr>
      <w:r>
        <w:t>strategy_match 3/3: a private real estate index for a core plus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sreit (breit, jll_ipt)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fact unavailable for this member.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